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DPMAV 2004 — Inkrafttreten, Außerkrafttreten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des Absatzes 2 am 1. Juni 2004 in Kraft.</w:t>
      </w:r>
    </w:p>
    <w:p>
      <w:r>
        <w:t xml:space="preserve">(2) § 1 Abs. 2 tritt am Tage nach der Verkündung in Kraft.</w:t>
      </w:r>
    </w:p>
    <w:p>
      <w:r>
        <w:rPr>
          <w:color w:val="555555"/>
          <w:sz w:val="17"/>
        </w:rPr>
        <w:t xml:space="preserve">Zitiervorschlag: § 34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