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DPMAV 2004 — Eintragung von dinglichen Rechten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Antrag auf Eintragung einer Verpfändung oder eines sonstigen dinglichen Rechts an dem durch die Eintragung eines gewerblichen Schutzrechts begründeten Rechts sind die erforderlichen Nachweise beizufügen.</w:t>
      </w:r>
    </w:p>
    <w:p>
      <w:r>
        <w:t xml:space="preserve">(2) Beim Übergang von dinglichen Rechten ist § 28 Abs. 2 bis 8 entsprechend anzuwenden.</w:t>
      </w:r>
    </w:p>
    <w:p>
      <w:r>
        <w:rPr>
          <w:color w:val="555555"/>
          <w:sz w:val="17"/>
        </w:rPr>
        <w:t xml:space="preserve">Zitiervorschlag: § 29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