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DPMAV 2004 — Urkunden, Schmuckurkunden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Deutsche Patent- und Markenamt fertigt für die Schutzrechtsinhaber gedruckte Urkunden über die Erteilung des Patents, die Eintragung des Gebrauchsmusters, der Marke, des Designs sowie des Schutzes der Topografie in das jeweilige Register.</w:t>
      </w:r>
    </w:p>
    <w:p>
      <w:r>
        <w:t xml:space="preserve">(2) Den Patentinhabern wird auf Antrag eine kostenpflichtige Schmuckurkunde ausgefertigt.</w:t>
      </w:r>
    </w:p>
    <w:p>
      <w:r>
        <w:rPr>
          <w:color w:val="555555"/>
          <w:sz w:val="17"/>
        </w:rPr>
        <w:t xml:space="preserve">Zitiervorschlag: § 25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