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DPMAV 2004 — Zustellung und formlose Übersendung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durch Gesetz oder Rechtsverordnung eine Zustellung nicht vorgesehen ist, werden Bescheide und sonstige Mitteilungen des Deutschen Patent- und Markenamts formlos übersandt.</w:t>
      </w:r>
    </w:p>
    <w:p>
      <w:r>
        <w:t xml:space="preserve">(2) Als formlose Übermittlung gilt auch die Übersendung durch Telefax. Die Übermittlung kann auch elektronisch erfolgen, soweit der Empfänger hierfür einen Zugang eröffnet. § 5 Absatz 1 und 2 der Verordnung über den elektronischen Rechtsverkehr beim Deutschen Patent- und Markenamt bleibt unberührt.</w:t>
      </w:r>
    </w:p>
    <w:p>
      <w:r>
        <w:rPr>
          <w:color w:val="555555"/>
          <w:sz w:val="17"/>
        </w:rPr>
        <w:t xml:space="preserve">Zitiervorschlag: § 21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