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DPMAV 2004 — Entscheidung nach Lage der Akten</w:t>
      </w:r>
    </w:p>
    <w:p>
      <w:r>
        <w:rPr>
          <w:color w:val="555555"/>
          <w:sz w:val="18"/>
        </w:rPr>
        <w:t xml:space="preserve">DPMA-Verordnung</w:t>
      </w:r>
    </w:p>
    <w:p>
      <w:r>
        <w:rPr>
          <w:color w:val="555555"/>
          <w:sz w:val="18"/>
        </w:rPr>
        <w:t xml:space="preserve">Stand: 10.06.2019 (konsolidierte Textfassung, kein amtliches Inkrafttretensdatum)</w:t>
      </w:r>
    </w:p>
    <w:p>
      <w:r>
        <w:t xml:space="preserve">(1) Über Anträge oder Erinnerungen ohne Begründung kann im einseitigen Verfahren nach Ablauf von einem Monat nach Eingang nach Lage der Akten entschieden werden, wenn in dem Antrag oder der Erinnerung keine spätere Begründung oder eine spätere Begründung ohne Antrag auf Gewährung einer Frist nach § 18 angekündigt worden ist.</w:t>
      </w:r>
    </w:p>
    <w:p>
      <w:r>
        <w:t xml:space="preserve">(2) Über Anträge, Widersprüche oder Erinnerungen ohne Begründung kann im mehrseitigen Verfahren nach Lage der Akten entschieden werden, wenn in dem Antrag, dem Widerspruch oder der Erinnerung keine spätere Begründung oder eine spätere Begründung ohne Antrag auf Gewährung einer Frist nach § 18 angekündigt worden ist und wenn der andere Beteiligte innerhalb der Fristen des § 18 Abs. 1 keine Stellungnahme abgibt oder eine spätere Stellungnahme ohne Antrag auf Gewährung einer Frist nach § 18 ankündigt. Wird der Antrag, der Widerspruch oder die Erinnerung zurückgewiesen, muss eine Stellungnahme der anderen Beteiligten nicht abgewartet werden.</w:t>
      </w:r>
    </w:p>
    <w:p>
      <w:r>
        <w:rPr>
          <w:color w:val="555555"/>
          <w:sz w:val="17"/>
        </w:rPr>
        <w:t xml:space="preserve">Zitiervorschlag: § 19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