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DPMAV 2004 — Fristen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vom Deutschen Patent- und Markenamt bestimmten oder auf Antrag gewährten Fristen sollen mindestens einen Monat, bei Beteiligten, die im Inland weder Sitz, Niederlassung oder Wohnsitz haben, mindestens zwei Monate betragen.</w:t>
      </w:r>
    </w:p>
    <w:p>
      <w:r>
        <w:t xml:space="preserve">(2) Eine Fristverlängerung kann bei Angabe von ausreichenden Gründen gewährt werden.</w:t>
      </w:r>
    </w:p>
    <w:p>
      <w:r>
        <w:t xml:space="preserve">(3) Weitere Fristverlängerungen werden nur gewährt, wenn ein berechtigtes Interesse glaubhaft gemacht wird. In Verfahren mit mehreren Beteiligten soll außerdem das Einverständnis der anderen Beteiligten glaubhaft gemacht werden.</w:t>
      </w:r>
    </w:p>
    <w:p>
      <w:r>
        <w:rPr>
          <w:color w:val="555555"/>
          <w:sz w:val="17"/>
        </w:rPr>
        <w:t xml:space="preserve">Zitiervorschlag: § 18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