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DPMAV 2004 — Sonstige Erfordernisse für Anträge und Eingaben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Mitteilung des Aktenzeichens ist dieses auf allen Anträgen und Eingaben anzugeben. Auf allen Bestandteilen einer an das Deutsche Patent- und Markenamt gerichteten Sendung ist anzugeben, zu welchem Antrag oder zu welcher Eingabe sie gehören.</w:t>
      </w:r>
    </w:p>
    <w:p>
      <w:r>
        <w:t xml:space="preserve">(2) In mehrseitigen Verfahren vor dem Deutschen Patent- und Markenamt sind allen Schriftstücken Abschriften für die übrigen Beteiligten beizufügen. Kommt ein Beteiligter dieser Verpflichtung nicht nach, steht es im Ermessen des Deutschen Patent- und Markenamts, ob es die erforderliche Zahl von Abschriften auf Kosten dieses Beteiligten anfertigt oder dazu auffordert, Abschriften nachzureichen. Die Sätze 1 und 2 sind nicht anzuwenden auf Patent-, Gebrauchsmuster- und Topografieverfahren; das Deutsche Patent- und Markenamt kann in diesen Fällen die Beteiligten jedoch auffordern, Abschriften nachzureichen.</w:t>
      </w:r>
    </w:p>
    <w:p>
      <w:r>
        <w:rPr>
          <w:color w:val="555555"/>
          <w:sz w:val="17"/>
        </w:rPr>
        <w:t xml:space="preserve">Zitiervorschlag: § 17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