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DPMAV 2004 — Mehrere Beteiligte, mehrere Vertreter</w:t>
      </w:r>
    </w:p>
    <w:p>
      <w:r>
        <w:rPr>
          <w:color w:val="555555"/>
          <w:sz w:val="18"/>
        </w:rPr>
        <w:t xml:space="preserve">DPMA-Verordnung</w:t>
      </w:r>
    </w:p>
    <w:p>
      <w:r>
        <w:rPr>
          <w:color w:val="555555"/>
          <w:sz w:val="18"/>
        </w:rPr>
        <w:t xml:space="preserve">Stand: 10.06.2019 (konsolidierte Textfassung, kein amtliches Inkrafttretensdatum)</w:t>
      </w:r>
    </w:p>
    <w:p>
      <w:r>
        <w:t xml:space="preserve">(1) Falls mehrere Personen ohne gemeinsamen Vertreter gemeinschaftlich an einem Verfahren beteiligt oder mehrere Vertreter mit unterschiedlicher Anschrift bestellt sind, ist anzugeben, wer für alle Beteiligten als zustellungs- und empfangsbevollmächtigt bestimmt ist; diese Erklärung ist von allen Anmeldern oder Vertretern zu unterzeichnen. Fehlt eine solche Angabe, so gilt die Person als zustellungs- und empfangsbevollmächtigt, die zuerst genannt ist.</w:t>
      </w:r>
    </w:p>
    <w:p>
      <w:r>
        <w:t xml:space="preserve">(2) Falls von einem Beteiligten mehrere Vertreter bestellt sind, ist anzugeben, welcher dieser Vertreter als zustellungs- und empfangsbevollmächtigt bestimmt ist. Fehlt eine solche Bestimmung, so ist derjenige Vertreter zustellungs- und empfangsbevollmächtigt, der zuerst genannt ist.</w:t>
      </w:r>
    </w:p>
    <w:p>
      <w:r>
        <w:t xml:space="preserve">(3) Absatz 2 gilt entsprechend, wenn mehrere gemeinschaftlich an einem Verfahren beteiligte Personen mehrere Vertreter als gemeinsame Vertreter bestimmt haben.</w:t>
      </w:r>
    </w:p>
    <w:p>
      <w:r>
        <w:t xml:space="preserve">(4) Die Absätze 2 und 3 gelten nicht, wenn ein Zusammenschluss von Vertretern mit der Vertretung beauftragt worden ist. In diesem Fall reicht die Angabe des Namens des Zusammenschlusses aus. Hat ein solcher Zusammenschluss mehrere Anschriften, so ist anzugeben, welche Anschrift maßgebend ist. Fehlt eine solche Angabe, so ist diejenige Anschrift maßgebend, die zuerst genannt ist.</w:t>
      </w:r>
    </w:p>
    <w:p>
      <w:r>
        <w:rPr>
          <w:color w:val="555555"/>
          <w:sz w:val="17"/>
        </w:rPr>
        <w:t xml:space="preserve">Zitiervorschlag: § 14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