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DPMAV 2004 — Vertretung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Beteiligte können sich in jeder Lage des Verfahrens durch Bevollmächtigte vertreten lassen.</w:t>
      </w:r>
    </w:p>
    <w:p>
      <w:r>
        <w:t xml:space="preserve">(2) Die Bevollmächtigung eines Zusammenschlusses von Vertretern gilt, wenn nicht einzelne Personen, die in dem Zusammenschluss tätig sind, ausdrücklich als Vertreter bezeichnet sind, als Bevollmächtigung aller in dem Zusammenschluss tätigen Vertreter.</w:t>
      </w:r>
    </w:p>
    <w:p>
      <w:r>
        <w:rPr>
          <w:color w:val="555555"/>
          <w:sz w:val="17"/>
        </w:rPr>
        <w:t xml:space="preserve">Zitiervorschlag: § 13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