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DPMAV 2004 — Originale</w:t>
      </w:r>
    </w:p>
    <w:p>
      <w:r>
        <w:rPr>
          <w:color w:val="555555"/>
          <w:sz w:val="18"/>
        </w:rPr>
        <w:t xml:space="preserve">DPMA-Verordnung</w:t>
      </w:r>
    </w:p>
    <w:p>
      <w:r>
        <w:rPr>
          <w:color w:val="555555"/>
          <w:sz w:val="18"/>
        </w:rPr>
        <w:t xml:space="preserve">Stand: 10.06.2019 (konsolidierte Textfassung, kein amtliches Inkrafttretensdatum)</w:t>
      </w:r>
    </w:p>
    <w:p>
      <w:r>
        <w:t xml:space="preserve">(1) Originale von Anträgen und Eingaben sind unterschrieben einzureichen.</w:t>
      </w:r>
    </w:p>
    <w:p>
      <w:r>
        <w:t xml:space="preserve">(2) Für die Schriftstücke ist dauerhaftes, nicht durchscheinendes Papier im Format 21 x 29,7 Zentimeter (DIN A4) zu verwenden. Die Schrift muss leicht lesbar und dokumentenecht sein. Vom oberen und vom linken Seitenrand jedes Blattes ist ein Randabstand von mindestens 2,5 Zentimeter einzuhalten. Die Blätter eines Schriftstücks sollen fortlaufend nummeriert sein.</w:t>
      </w:r>
    </w:p>
    <w:p>
      <w:r>
        <w:rPr>
          <w:color w:val="555555"/>
          <w:sz w:val="17"/>
        </w:rPr>
        <w:t xml:space="preserve">Zitiervorschlag: § 10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