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DPMAV 2004 — Leitung, Aufsicht, Übertragung von Verordnungsermächtigungen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Präsident oder die Präsidentin leitet und beaufsichtigt den gesamten Geschäftsbetrieb des Deutschen Patent- und Markenamts und wirkt auf die gleichmäßige Behandlung der Geschäfte und auf die Beachtung gleicher Grundsätze hin.</w:t>
      </w:r>
    </w:p>
    <w:p>
      <w:r>
        <w:t xml:space="preserve">(2) Die Ermächtigungen in § 27 Abs. 5, § 29 Abs. 3, § 34 Abs. 6 und 8 sowie in § 63 Abs. 4 des Patentgesetzes, in § 4 Abs. 4 und 7 sowie § 10 Abs. 2 des Gebrauchsmustergesetzes, in § 3 Abs. 3 sowie in § 4 Abs. 4 des Halbleiterschutzgesetzes in Verbindung mit § 10 Abs. 2 des Gebrauchsmustergesetzes, in § 65 Absatz 1 Nummer 2 bis 13 sowie § 138 Absatz 1 des Markengesetzes, in § 26 Absatz 1 Nummer 2 bis 9 und Absatz 2 des Designgesetzes werden auf das Deutsche Patent- und Markenamt übertragen.</w:t>
      </w:r>
    </w:p>
    <w:p>
      <w:r>
        <w:rPr>
          <w:color w:val="555555"/>
          <w:sz w:val="17"/>
        </w:rPr>
        <w:t xml:space="preserve">Zitiervorschlag: § 1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