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DPAGBefugAnO 2016</w:t>
      </w:r>
    </w:p>
    <w:p>
      <w:r>
        <w:rPr>
          <w:color w:val="555555"/>
          <w:sz w:val="18"/>
        </w:rPr>
        <w:t xml:space="preserve">Anordnung zur Übertragung dienstrechtlicher Befugnisse im Bereich der Deutschen Post 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3 Absatz 1 Satz 1 und § 3 Absatz 2 Satz 4 des Postpersonalrechtsgesetzes vom 14. September 1994 (BGBl. I S. 2325, 2353), von denen § 3 Absatz 1 Satz 1 zuletzt durch Artikel 1 Nummer 5 Buchstabe a Doppelbuchstabe aa des Gesetzes vom 28. Mai 2015 (BGBl. I S. 813) und § 3 Absatz 2 Satz 4 durch Artikel 223 Nummer 2 Buchstabe a der Verordnung vom 29. Oktober 2001 (BGBl. I S. 2785) geändert worden ist, ordnet das Bundesministerium der Finanzen nach Anhörung des Vorstands der Deutschen Post AG an:</w:t>
      </w:r>
    </w:p>
    <w:p>
      <w:r>
        <w:rPr>
          <w:color w:val="555555"/>
          <w:sz w:val="17"/>
        </w:rPr>
        <w:t xml:space="preserve">Zitiervorschlag: Eingangsformel DPAGBefugAnO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https://recht.nulegal.eu/gesetze/DPAGBefugAnO%202016/eingangsformel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