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DOHG 2 — Inkrafttreten, Außerkrafttreten</w:t>
      </w:r>
    </w:p>
    <w:p>
      <w:r>
        <w:rPr>
          <w:color w:val="555555"/>
          <w:sz w:val="18"/>
        </w:rPr>
        <w:t xml:space="preserve">Zweites Dopingopfer-Hilfegesetz</w:t>
      </w:r>
    </w:p>
    <w:p>
      <w:r>
        <w:rPr>
          <w:color w:val="555555"/>
          <w:sz w:val="18"/>
        </w:rPr>
        <w:t xml:space="preserve">Historische Fassung: Stand 10.06.2019 bis 01.01.2021. Dies ist nicht die aktuelle Fassung.</w:t>
      </w:r>
    </w:p>
    <w:p>
      <w:r>
        <w:t xml:space="preserve">Dieses Gesetz tritt am Tag nach der Verkündung in Kraft. Es tritt mit Ablauf des Jahres 2020 außer Kraft.</w:t>
      </w:r>
    </w:p>
    <w:p>
      <w:r>
        <w:rPr>
          <w:color w:val="555555"/>
          <w:sz w:val="17"/>
        </w:rPr>
        <w:t xml:space="preserve">Zitiervorschlag: § 9 DOHG 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https://recht.nulegal.eu/gesetze/DOHG%202/9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