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DOHG 2 — Verhältnis zu anderen Rechtsvorschriften</w:t>
      </w:r>
    </w:p>
    <w:p>
      <w:r>
        <w:rPr>
          <w:color w:val="555555"/>
          <w:sz w:val="18"/>
        </w:rPr>
        <w:t xml:space="preserve">Zweites Dopingopfer-Hilfegesetz</w:t>
      </w:r>
    </w:p>
    <w:p>
      <w:r>
        <w:rPr>
          <w:color w:val="555555"/>
          <w:sz w:val="18"/>
        </w:rPr>
        <w:t xml:space="preserve">Historische Fassung: Stand 10.06.2019 bis 01.01.2021. Dies ist nicht die aktuelle Fassung.</w:t>
      </w:r>
    </w:p>
    <w:p>
      <w:r>
        <w:t xml:space="preserve">(1) Ansprüche wegen desselben Lebenssachverhalts aus anderen Rechtsgründen bleiben unberührt. Aufgrund dieser Ansprüche bereits gewährte Leistungen werden nicht auf die Leistungen nach diesem Gesetz angerechnet.</w:t>
      </w:r>
    </w:p>
    <w:p>
      <w:r>
        <w:t xml:space="preserve">(2) Leistungen nach diesem Gesetz werden nicht auf Leistungen der Sozialhilfe angerechnet.</w:t>
      </w:r>
    </w:p>
    <w:p>
      <w:r>
        <w:rPr>
          <w:color w:val="555555"/>
          <w:sz w:val="17"/>
        </w:rPr>
        <w:t xml:space="preserve">Zitiervorschlag: § 8 DOHG 2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https://recht.nulegal.eu/gesetze/DOHG%202/8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