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DNG — Hochwertige Datensätze</w:t>
      </w:r>
    </w:p>
    <w:p>
      <w:r>
        <w:rPr>
          <w:color w:val="555555"/>
          <w:sz w:val="18"/>
        </w:rPr>
        <w:t xml:space="preserve">Datennutzungsgesetz</w:t>
      </w:r>
    </w:p>
    <w:p>
      <w:r>
        <w:rPr>
          <w:color w:val="555555"/>
          <w:sz w:val="18"/>
        </w:rPr>
        <w:t xml:space="preserve">Stand: 23.07.2021 (konsolidierte Textfassung, kein amtliches Inkrafttretensdatum)</w:t>
      </w:r>
    </w:p>
    <w:p>
      <w:r>
        <w:t xml:space="preserve">Öffentliche Stellen und Unternehmen der Daseinsvorsorge müssen die Nutzung hochwertiger Datensätze in maschinenlesbarem Format über geeignete Anwendungsprogrammierschnittstellen und, falls technisch erforderlich, als Massen-Download ermöglichen.</w:t>
      </w:r>
    </w:p>
    <w:p>
      <w:r>
        <w:rPr>
          <w:color w:val="555555"/>
          <w:sz w:val="17"/>
        </w:rPr>
        <w:t xml:space="preserve">Zitiervorschlag: § 9 DNG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https://recht.nulegal.eu/gesetze/DNG/9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