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DNG — Verfügbare Formate, Metadaten</w:t>
      </w:r>
    </w:p>
    <w:p>
      <w:r>
        <w:rPr>
          <w:color w:val="555555"/>
          <w:sz w:val="18"/>
        </w:rPr>
        <w:t xml:space="preserve">Datennutzungsgesetz</w:t>
      </w:r>
    </w:p>
    <w:p>
      <w:r>
        <w:rPr>
          <w:color w:val="555555"/>
          <w:sz w:val="18"/>
        </w:rPr>
        <w:t xml:space="preserve">Stand: 23.07.2021 (konsolidierte Textfassung, kein amtliches Inkrafttretensdatum)</w:t>
      </w:r>
    </w:p>
    <w:p>
      <w:r>
        <w:t xml:space="preserve">(1) Der Datenbereitsteller muss die Nutzung der Daten in allen angefragten und bei ihm vorhandenen Formaten und Sprachen ermöglichen.</w:t>
      </w:r>
    </w:p>
    <w:p>
      <w:r>
        <w:t xml:space="preserve">(2) Soweit möglich und sinnvoll, sind Daten elektronisch und in nach den anerkannten Regeln der Technik offenen, maschinenlesbaren, zugänglichen, auffindbaren und interoperablen Formaten zusammen mit den zugehörigen Metadaten bereitzustellen. Sowohl die Formate als auch die Metadaten entsprechen, soweit möglich, förmlichen offenen Standards.</w:t>
      </w:r>
    </w:p>
    <w:p>
      <w:r>
        <w:t xml:space="preserve">(3) Die Absätze 1 und 2 verpflichten öffentliche Stellen und öffentliche Unternehmen nicht, Daten und Metadaten neu zu erstellen oder anzupassen oder Teile von Datensätzen zur Verfügung zu stellen, wenn dies mit unverhältnismäßigem Aufwand verbunden wäre, der über eine einfache Bearbeitung hinausgeht. Öffentliche Stellen und Unternehmen der Daseinsvorsorge sind außerdem nicht verpflichtet, die Erstellung und Speicherung bestimmter Arten von Daten im Hinblick auf deren Nutzung durch eine Organisation des privaten oder öffentlichen Sektors fortzusetzen.</w:t>
      </w:r>
    </w:p>
    <w:p>
      <w:r>
        <w:t xml:space="preserve">(4) Die Metadaten zu maschinenlesbaren Daten sind, soweit möglich und sinnvoll, über das nationale Metadatenportal GovData zur Verfügung zu stellen.</w:t>
      </w:r>
    </w:p>
    <w:p>
      <w:r>
        <w:rPr>
          <w:color w:val="555555"/>
          <w:sz w:val="17"/>
        </w:rPr>
        <w:t xml:space="preserve">Zitiervorschlag: § 7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