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DNG — Grundsatz der Unentgeltlichkeit</w:t>
      </w:r>
    </w:p>
    <w:p>
      <w:r>
        <w:rPr>
          <w:color w:val="555555"/>
          <w:sz w:val="18"/>
        </w:rPr>
        <w:t xml:space="preserve">Datennutzungsgesetz</w:t>
      </w:r>
    </w:p>
    <w:p>
      <w:r>
        <w:rPr>
          <w:color w:val="555555"/>
          <w:sz w:val="18"/>
        </w:rPr>
        <w:t xml:space="preserve">Stand: 23.07.2021 (konsolidierte Textfassung, kein amtliches Inkrafttretensdatum)</w:t>
      </w:r>
    </w:p>
    <w:p>
      <w:r>
        <w:t xml:space="preserve">(1) Die Nutzung von Daten ist unentgeltlich. Es ist jedoch zulässig, die Erstattung von verursachten Grenzkosten für die folgenden Tätigkeiten und Maßnahmen zu verlangen:</w:t>
      </w:r>
    </w:p>
    <w:p>
      <w:pPr>
        <w:ind w:left="420"/>
      </w:pPr>
      <w:r>
        <w:t xml:space="preserve">1. die Reproduktion, Bereitstellung und Verbreitung von Daten,</w:t>
      </w:r>
    </w:p>
    <w:p>
      <w:pPr>
        <w:ind w:left="420"/>
      </w:pPr>
      <w:r>
        <w:t xml:space="preserve">2. die Anonymisierung personenbezogener Daten und</w:t>
      </w:r>
    </w:p>
    <w:p>
      <w:pPr>
        <w:ind w:left="420"/>
      </w:pPr>
      <w:r>
        <w:t xml:space="preserve">3. Maßnahmen zum Schutz vertraulicher Geschäftsinformationen.</w:t>
      </w:r>
    </w:p>
    <w:p>
      <w:r>
        <w:t xml:space="preserve">(2) Abweichend von Absatz 1 Satz 1 dürfen für die Nutzung von Daten Entgelte verlangen:</w:t>
      </w:r>
    </w:p>
    <w:p>
      <w:pPr>
        <w:ind w:left="420"/>
      </w:pPr>
      <w:r>
        <w:t xml:space="preserve">1. öffentliche Stellen, die ausreichende Einnahmen erzielen müssen, um einen wesentlichen Teil ihrer Kosten im Zusammenhang mit der Erfüllung ihrer öffentlichen Aufträge zu decken;</w:t>
      </w:r>
    </w:p>
    <w:p>
      <w:pPr>
        <w:ind w:left="420"/>
      </w:pPr>
      <w:r>
        <w:t xml:space="preserve">2. Bibliotheken, einschließlich Hochschulbibliotheken, Museen und Archive;</w:t>
      </w:r>
    </w:p>
    <w:p>
      <w:pPr>
        <w:ind w:left="420"/>
      </w:pPr>
      <w:r>
        <w:t xml:space="preserve">3. Unternehmen der Daseinsvorsorge.</w:t>
      </w:r>
    </w:p>
    <w:p>
      <w:r>
        <w:t xml:space="preserve">(3) Absatz 1 Satz 2 und Absatz 2 Nummer 1 und 3 gelten nicht für hochwertige Datensätze sowie Forschungsdaten.</w:t>
      </w:r>
    </w:p>
    <w:p>
      <w:r>
        <w:t xml:space="preserve">(4) Wenn öffentliche Stellen, die ausreichende Einnahmen erzielen müssen, um einen wesentlichen Teil ihrer Kosten im Zusammenhang mit der Erfüllung ihres öffentlichen Auftrags zu decken, von der Anwendung des Absatzes 1 Satz 1 ausgenommen werden wollen, melden sie die Berufung auf die Ausnahme der Bundesnetzagentur. Die Bundesnetzagentur führt eine Liste der öffentlichen Stellen, die von der Ausnahme Gebrauch machen, und macht die Liste auf ihrer Internetseite zugänglich.</w:t>
      </w:r>
    </w:p>
    <w:p>
      <w:r>
        <w:t xml:space="preserve">(5) Für öffentliche Stellen, die Einnahmen erzielen müssen, um einen wesentlichen Teil ihrer Kosten bei der Erfüllung ihres öffentlichen Auftrags zu decken, und bei denen sich die unentgeltliche Nutzung hochwertiger Datensätze wesentlich auf ihren Haushalt auswirkt, gilt die Unentgeltlichkeit der Nutzung hochwertiger Datensätze spätestens zwölf Monate nach dem 23. Juli 2021.</w:t>
      </w:r>
    </w:p>
    <w:p>
      <w:r>
        <w:rPr>
          <w:color w:val="555555"/>
          <w:sz w:val="17"/>
        </w:rPr>
        <w:t xml:space="preserve">Zitiervorschlag: § 10 DNG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https://recht.nulegal.eu/gesetze/DNG/10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