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DNG — Grundsatz der offenen Daten</w:t>
      </w:r>
    </w:p>
    <w:p>
      <w:r>
        <w:rPr>
          <w:color w:val="555555"/>
          <w:sz w:val="18"/>
        </w:rPr>
        <w:t xml:space="preserve">Datennutzungsgesetz</w:t>
      </w:r>
    </w:p>
    <w:p>
      <w:r>
        <w:rPr>
          <w:color w:val="555555"/>
          <w:sz w:val="18"/>
        </w:rPr>
        <w:t xml:space="preserve">Stand: 23.07.2021 (konsolidierte Textfassung, kein amtliches Inkrafttretensdatum)</w:t>
      </w:r>
    </w:p>
    <w:p>
      <w:r>
        <w:t xml:space="preserve">(1) Daten, die in den Anwendungsbereich dieses Gesetzes fallen, sollen, soweit möglich, nach dem Grundsatz „konzeptionell und standardmäßig offen“ erstellt werden.</w:t>
      </w:r>
    </w:p>
    <w:p>
      <w:r>
        <w:t xml:space="preserve">(2) Eine Bereitstellungspflicht oder ein Anspruch auf Zugang zu Daten wird mit diesem Gesetz nicht begründet.</w:t>
      </w:r>
    </w:p>
    <w:p>
      <w:r>
        <w:rPr>
          <w:color w:val="555555"/>
          <w:sz w:val="17"/>
        </w:rPr>
        <w:t xml:space="preserve">Zitiervorschlag: § 1 DNG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https://recht.nulegal.eu/gesetze/DNG/1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