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DNBG — Medienwerke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Medienwerke sind alle Darstellungen in Schrift, Bild und Ton, die in körperlicher Form verbreitet oder in unkörperlicher Form der Öffentlichkeit zugänglich gemacht werden.</w:t>
      </w:r>
    </w:p>
    <w:p>
      <w:r>
        <w:t xml:space="preserve">(2) Medienwerke in körperlicher Form sind alle Darstellungen auf Papier, elektronischen Datenträgern und anderen Trägern.</w:t>
      </w:r>
    </w:p>
    <w:p>
      <w:r>
        <w:t xml:space="preserve">(3) Medienwerke in unkörperlicher Form sind alle Darstellungen in öffentlichen Netzen.</w:t>
      </w:r>
    </w:p>
    <w:p>
      <w:r>
        <w:t xml:space="preserve">(4) Filmwerke, bei denen nicht die Musik im Vordergrund steht, sowie ausschließlich im Rundfunk gesendete Werke unterliegen nicht den Bestimmungen dieses Gesetzes.</w:t>
      </w:r>
    </w:p>
    <w:p>
      <w:r>
        <w:rPr>
          <w:color w:val="555555"/>
          <w:sz w:val="17"/>
        </w:rPr>
        <w:t xml:space="preserve">Zitiervorschlag: § 3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