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DNBG — Aufgaben, Befugnisse</w:t>
      </w:r>
    </w:p>
    <w:p>
      <w:r>
        <w:rPr>
          <w:color w:val="555555"/>
          <w:sz w:val="18"/>
        </w:rPr>
        <w:t xml:space="preserve">Gesetz über die Deutsche Nationalbibliothek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Bibliothek hat die Aufgabe,</w:t>
      </w:r>
    </w:p>
    <w:p>
      <w:pPr>
        <w:ind w:left="780"/>
      </w:pPr>
      <w:r>
        <w:t xml:space="preserve">a) die ab 1913 in Deutschland veröffentlichten Medienwerke und</w:t>
      </w:r>
    </w:p>
    <w:p>
      <w:pPr>
        <w:ind w:left="780"/>
      </w:pPr>
      <w:r>
        <w:t xml:space="preserve">b) die ab 1913 im Ausland veröffentlichten deutschsprachigen Medienwerke, Übersetzungen deutschsprachiger Medienwerke in andere Sprachen und fremdsprachigen Medienwerke über Deutschland</w:t>
      </w:r>
    </w:p>
    <w:p>
      <w:pPr>
        <w:ind w:left="420"/>
      </w:pPr>
      <w:r>
        <w:t xml:space="preserve">im Original zu sammeln, zu inventarisieren, zu erschließen und bibliografisch zu verzeichnen, auf Dauer zu sichern und für die Allgemeinheit nutzbar zu machen sowie zentrale bibliothekarische und nationalbibliografische Dienste zu leisten,</w:t>
      </w:r>
    </w:p>
    <w:p>
      <w:pPr>
        <w:ind w:left="420"/>
      </w:pPr>
      <w:r>
        <w:t xml:space="preserve">2. das Deutsche Exilarchiv 1933 - 1945, die Anne-Frank-Shoah-Bibliothek sowie das Deutsche Buch- und Schriftmuseum zu betreiben,</w:t>
      </w:r>
    </w:p>
    <w:p>
      <w:pPr>
        <w:ind w:left="420"/>
      </w:pPr>
      <w:r>
        <w:t xml:space="preserve">3. mit den Facheinrichtungen Deutschlands und des Auslands zusammenzuarbeiten sowie in nationalen und internationalen Fachorganisationen mitzuwirken.</w:t>
      </w:r>
    </w:p>
    <w:p>
      <w:r>
        <w:rPr>
          <w:color w:val="555555"/>
          <w:sz w:val="17"/>
        </w:rPr>
        <w:t xml:space="preserve">Zitiervorschlag: § 2 DNBG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https://recht.nulegal.eu/gesetze/DNBG/2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