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 DMBilG — Anwendung</w:t>
      </w:r>
    </w:p>
    <w:p>
      <w:r>
        <w:rPr>
          <w:color w:val="555555"/>
          <w:sz w:val="18"/>
        </w:rPr>
        <w:t xml:space="preserve">D-Markbilanzgesetz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ist mit Wirkung vom 1. Juli 1990 im gesamten Bundesgebiet anzuwenden, die Bestimmungen des Abschnitts 7 jedoch erst vom 29. März 1991 an. Für das in Artikel 3 des Einigungsvertrages genannte Gebiet sind die Bestimmungen des Abschnitts 7 mit Ausnahme des § 48 Abs. 1 Nr. 4 mit Wirkung vom 29. September 1990 anzuwenden.</w:t>
      </w:r>
    </w:p>
    <w:p>
      <w:r>
        <w:rPr>
          <w:color w:val="555555"/>
          <w:sz w:val="17"/>
        </w:rPr>
        <w:t xml:space="preserve">Zitiervorschlag: § 60 DMBilG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https://recht.nulegal.eu/gesetze/DMBilG/60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