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DMBilG — Allgemeine Anforderungen</w:t>
      </w:r>
    </w:p>
    <w:p>
      <w:r>
        <w:rPr>
          <w:color w:val="555555"/>
          <w:sz w:val="18"/>
        </w:rPr>
        <w:t xml:space="preserve">D-Markbilanzgesetz</w:t>
      </w:r>
    </w:p>
    <w:p>
      <w:r>
        <w:rPr>
          <w:color w:val="555555"/>
          <w:sz w:val="18"/>
        </w:rPr>
        <w:t xml:space="preserve">Stand: 10.06.2019 (konsolidierte Textfassung, kein amtliches Inkrafttretensdatum)</w:t>
      </w:r>
    </w:p>
    <w:p>
      <w:r>
        <w:t xml:space="preserve">(1) Bei der Bewertung der in der Eröffnungsbilanz ausgewiesenen Vermögensgegenstände und Schulden gilt insbesondere folgendes:</w:t>
      </w:r>
    </w:p>
    <w:p>
      <w:pPr>
        <w:ind w:left="420"/>
      </w:pPr>
      <w:r>
        <w:t xml:space="preserve">1. Bei der Bewertung ist von der Fortführung der Unternehmenstätigkeit auszugehen, sofern dem nicht tatsächliche oder rechtliche Gegebenheiten entgegenstehen.</w:t>
      </w:r>
    </w:p>
    <w:p>
      <w:pPr>
        <w:ind w:left="420"/>
      </w:pPr>
      <w:r>
        <w:t xml:space="preserve">2. Die Vermögensgegenstände und Schulden sind zum Stichtag der Eröffnungsbilanz einzeln zu bewerten.</w:t>
      </w:r>
    </w:p>
    <w:p>
      <w:pPr>
        <w:ind w:left="420"/>
      </w:pPr>
      <w:r>
        <w:t xml:space="preserve">3. Es ist vorsichtig zu bewerten, namentlich sind alle vorhersehbaren Risiken und Verluste, die bis zum Stichtag der Eröffnungsbilanz entstanden sind, zu berücksichtigen, selbst wenn diese erst zwischen dem Stichtag und dem Tag der Aufstellung der Eröffnungsbilanz bekannt geworden sind; Gewinne sind nur zu berücksichtigen, wenn sie am Stichtag realisiert sind.</w:t>
      </w:r>
    </w:p>
    <w:p>
      <w:r>
        <w:t xml:space="preserve">(2) Die auf die in der Eröffnungsbilanz ausgewiesenen Vermögensgegenstände und Schulden angewandten Ansatz- und Bewertungsmethoden sind für die folgenden Bilanzen verbindlich, soweit nicht abgewichen werden muß oder eine Abweichung nach § 252 Abs. 2 des Handelsgesetzbuchs zulässig ist; für die erstmalige Abweichung in einem nachfolgenden Abschluß von einem in der Eröffnungsbilanz ausgeübten Wahlrecht bedarf es eines begründeten Ausnahmefalls nicht. Satz 1 gilt auch, wenn sich die Zulässigkeit der Methode nur aus diesem Gesetz ergibt. Die in der Eröffnungsbilanz angesetzten Werte dürfen jedoch in den Folgebilanzen nicht überschritten werden.</w:t>
      </w:r>
    </w:p>
    <w:p>
      <w:r>
        <w:rPr>
          <w:color w:val="555555"/>
          <w:sz w:val="17"/>
        </w:rPr>
        <w:t xml:space="preserve">Zitiervorschlag: § 6 DMBilG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https://recht.nulegal.eu/gesetze/DMBilG/6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