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DMBilG — Ermächtigung</w:t>
      </w:r>
    </w:p>
    <w:p>
      <w:r>
        <w:rPr>
          <w:color w:val="555555"/>
          <w:sz w:val="18"/>
        </w:rPr>
        <w:t xml:space="preserve">D-Markbilanzgesetz</w:t>
      </w:r>
    </w:p>
    <w:p>
      <w:r>
        <w:rPr>
          <w:color w:val="555555"/>
          <w:sz w:val="18"/>
        </w:rPr>
        <w:t xml:space="preserve">Stand: 10.06.2019 (konsolidierte Textfassung, kein amtliches Inkrafttretensdatum)</w:t>
      </w:r>
    </w:p>
    <w:p>
      <w:r>
        <w:t xml:space="preserve">Das Bundesministerium der Justiz wird ermächtigt, im Einvernehmen mit dem Bundesministerium der Finanzen und dem Bundesministerium für Wirtschaft und Technologie durch Rechtsverordnung mit Zustimmung des Bundesrates Vorschriften zur Ausführung dieses Gesetzes über Form und Inhalt der nach den §§ 1, 21, 39 und 45 aufzustellenden Unterlagen, die Kapitalausstattung der Unternehmen sowie über die Durchführung der Prüfung, die Feststellung und Offenlegung dieser Unterlagen und des dabei einzuhaltenden Verfahrens zu erlassen, soweit diese Vorschriften erforderlich sind, um die Durchführung der Währungsumstellung im Sinne des Vertrages über die Schaffung einer Währungs-, Wirtschafts- und Sozialunion und der Zielsetzung dieses Gesetzes zu gewährleisten.</w:t>
      </w:r>
    </w:p>
    <w:p>
      <w:r>
        <w:rPr>
          <w:color w:val="555555"/>
          <w:sz w:val="17"/>
        </w:rPr>
        <w:t xml:space="preserve">Zitiervorschlag: § 59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