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DMBilG — Geschäftsjahr</w:t>
      </w:r>
    </w:p>
    <w:p>
      <w:r>
        <w:rPr>
          <w:color w:val="555555"/>
          <w:sz w:val="18"/>
        </w:rPr>
        <w:t xml:space="preserve">D-Markbilanzgesetz</w:t>
      </w:r>
    </w:p>
    <w:p>
      <w:r>
        <w:rPr>
          <w:color w:val="555555"/>
          <w:sz w:val="18"/>
        </w:rPr>
        <w:t xml:space="preserve">Stand: 10.06.2019 (konsolidierte Textfassung, kein amtliches Inkrafttretensdatum)</w:t>
      </w:r>
    </w:p>
    <w:p>
      <w:r>
        <w:t xml:space="preserve">(1) Die Unternehmen haben ihr Geschäftsjahr neu festzusetzen. Das erste Geschäftsjahr kann abweichend von § 240 Abs. 2 Satz 2 des Handelsgesetzbuchs bis zu achtzehn Monate, bei Geldinstituten und Versicherungsunternehmen bis zu zwölf Monate umfassen. Der Beschluß über die Verlängerung des Geschäftsjahres kann nur bis zum Ablauf des 30. Juni 1991 gefaßt werden. Einer Änderung der Satzung oder des Gesellschaftsvertrages bedarf es nicht, wenn das Geschäftsjahr lediglich aufgrund dieser Vorschrift verlängert wird.</w:t>
      </w:r>
    </w:p>
    <w:p>
      <w:r>
        <w:t xml:space="preserve">(2) Unternehmen, die von Absatz 1 Gebrauch machen, müssen für den 31. Dezember 1990 einen Jahresabschluß nach den für sie maßgeblichen Vorschriften des Handelsrechts aufstellen. Eines Anhangs bedarf es nicht. Der Jahresabschluß braucht weder geprüft noch offengelegt zu werden.</w:t>
      </w:r>
    </w:p>
    <w:p>
      <w:r>
        <w:rPr>
          <w:color w:val="555555"/>
          <w:sz w:val="17"/>
        </w:rPr>
        <w:t xml:space="preserve">Zitiervorschlag: § 58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