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DMBilG — Auflösung</w:t>
      </w:r>
    </w:p>
    <w:p>
      <w:r>
        <w:rPr>
          <w:color w:val="555555"/>
          <w:sz w:val="18"/>
        </w:rPr>
        <w:t xml:space="preserve">D-Markbilanzgesetz</w:t>
      </w:r>
    </w:p>
    <w:p>
      <w:r>
        <w:rPr>
          <w:color w:val="555555"/>
          <w:sz w:val="18"/>
        </w:rPr>
        <w:t xml:space="preserve">Stand: 10.06.2019 (konsolidierte Textfassung, kein amtliches Inkrafttretensdatum)</w:t>
      </w:r>
    </w:p>
    <w:p>
      <w:r>
        <w:t xml:space="preserve">(1) Aktiengesellschaften, Kommanditgesellschaften auf Aktien und Gesellschaften mit beschränkter Haftung, welche die Neufestsetzung ihrer Kapitalverhältnisse nach diesem Gesetz nicht bis zum 31. Dezember 1994 ordnungsgemäß zur Eintragung in das Handelsregister angemeldet haben, sind mit dem Ablauf dieses Tages aufgelöst. Ist der Beschluß über die Neufestsetzung vor dem 31. Dezember 1994 angefochten worden, so tritt an die Stelle des 31. Dezember 1994 der sechs Monate nach dem Tag der Rechtskraft der Entscheidung liegende Tag.</w:t>
      </w:r>
    </w:p>
    <w:p>
      <w:r>
        <w:t xml:space="preserve">(2) Aktiengesellschaften, Kommanditgesellschaften auf Aktien und Gesellschaften mit beschränkter Haftung, deren Grundkapital nach der Neufestsetzung auf weniger als die nach der Rechtsform zulässigen Mindestbeträge lautet und die eine Erhöhung des Nennkapitals beschlossen haben, sind außerdem mit Ablauf des 31. Dezember 1992 aufgelöst, wenn die Erhöhung des Nennkapitals auf den zulässigen Mindestnennbetrag bis zu diesem Zeitpunkt nicht ordnungsgemäß zur Eintragung in das Handelsregister angemeldet worden ist.</w:t>
      </w:r>
    </w:p>
    <w:p>
      <w:r>
        <w:t xml:space="preserve">(3) Aktiengesellschaften, Kommanditgesellschaften auf Aktien und Gesellschaften mit beschränkter Haftung, die von der Befugnis, ein Kapitalentwertungskonto zu bilden, Gebrauch gemacht haben, sind mit Ablauf des 31. Dezember 1997 aufgelöst, wenn die Durchführung des Ausgleichs nicht bis zu diesem Zeitpunkt in das Handelsregister eingetragen worden ist.</w:t>
      </w:r>
    </w:p>
    <w:p>
      <w:r>
        <w:t xml:space="preserve">(4) Absatz 1 Satz 1 ist entsprechend auf Erwerbs- und Wirtschaftsgenossenschaften anzuwenden, wenn die notwendigen Änderungen des Statuts nicht bis zum 31. Dezember 1992 ordnungsgemäß zur Eintragung in das Genossenschaftsregister angemeldet worden sind. Auf die Beschlüsse der Mitgliederversammlung ist das am 1. Juli 1990 geltende Statut der Genossenschaft mit den danach beschlossenen Änderungen anzuwenden.</w:t>
      </w:r>
    </w:p>
    <w:p>
      <w:r>
        <w:rPr>
          <w:color w:val="555555"/>
          <w:sz w:val="17"/>
        </w:rPr>
        <w:t xml:space="preserve">Zitiervorschlag: § 57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