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56c DMBilG — Umtausch und Zusammenlegung von Anteilen</w:t>
      </w:r>
    </w:p>
    <w:p>
      <w:r>
        <w:rPr>
          <w:color w:val="555555"/>
          <w:sz w:val="18"/>
        </w:rPr>
        <w:t xml:space="preserve">D-Markbilanzgesetz</w:t>
      </w:r>
    </w:p>
    <w:p>
      <w:r>
        <w:rPr>
          <w:color w:val="555555"/>
          <w:sz w:val="18"/>
        </w:rPr>
        <w:t xml:space="preserve">Stand: 10.06.2019 (konsolidierte Textfassung, kein amtliches Inkrafttretensdatum)</w:t>
      </w:r>
    </w:p>
    <w:p>
      <w:r>
        <w:t xml:space="preserve">(1) Die auf Mark der Deutschen Demokratischen Republik lautenden Aktien sind in Aktien, die auf Deutsche Mark lauten, umzutauschen oder abzustempeln. Müssen Aktien zusammengelegt werden, so ist auf den Umtausch und die Abstempelung § 226 des Aktiengesetzes entsprechend anzuwenden.</w:t>
      </w:r>
    </w:p>
    <w:p>
      <w:r>
        <w:t xml:space="preserve">(2) Bevor die Neufestsetzung in das Handelsregister oder in das Genossenschaftsregister eingetragen ist, dürfen die sich aus ihr ergebenden neuen Geschäftsanteile nicht gebildet werden. Werden im Falle der Verminderung der Zahl der Geschäftsanteile der Gesellschaft oder Genossenschaft Anteile nicht zur Verwertung für Rechnung der Beteiligten zur Verfügung gestellt, so sind die anstelle der bisherigen Geschäftsanteile zu bildenden neuen Geschäftsanteile für Rechnung der Beteiligten durch die Gesellschaft oder Genossenschaft im Wege der öffentlichen Versteigerung zu verkaufen. Der Erlös ist den Beteiligten nach Abzug der Kosten auszuzahlen oder, wenn ein Recht zur Hinterlegung besteht, zu hinterlegen.</w:t>
      </w:r>
    </w:p>
    <w:p>
      <w:r>
        <w:rPr>
          <w:color w:val="555555"/>
          <w:sz w:val="17"/>
        </w:rPr>
        <w:t xml:space="preserve">Zitiervorschlag: § 56c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