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56a DMBilG — Einfache Mehrheit</w:t>
      </w:r>
    </w:p>
    <w:p>
      <w:r>
        <w:rPr>
          <w:color w:val="555555"/>
          <w:sz w:val="18"/>
        </w:rPr>
        <w:t xml:space="preserve">D-Markbilanzgesetz</w:t>
      </w:r>
    </w:p>
    <w:p>
      <w:r>
        <w:rPr>
          <w:color w:val="555555"/>
          <w:sz w:val="18"/>
        </w:rPr>
        <w:t xml:space="preserve">Stand: 10.06.2019 (konsolidierte Textfassung, kein amtliches Inkrafttretensdatum)</w:t>
      </w:r>
    </w:p>
    <w:p>
      <w:r>
        <w:t xml:space="preserve">(1) Für den Beschluß der Hauptversammlung oder der Gesellschafterversammlung von Kapitalgesellschaften über die Neufestsetzung des gezeichneten Kapitals und die Einziehung von Anteilen genügt die einfache Mehrheit des bei der Beschlußfassung vertretenen gezeichneten Kapitals ohne Rücksicht auf die Stimmenzahl. Eines Sonderbeschlusses der einzelnen Gattungen von Anteilen bedarf es nicht. Dies gilt auch dann, wenn die Satzung oder der Gesellschaftsvertrag etwas anderes bestimmen. Für eine zugleich mit der Neufestsetzung beschlossene Erhöhung des gezeichneten Kapitals gelten die für die Rechtsform maßgeblichen Vorschriften über die Kapitalerhöhung nur, wenn diese nicht aus vorhandenem Eigenkapital erfolgt.</w:t>
      </w:r>
    </w:p>
    <w:p>
      <w:r>
        <w:t xml:space="preserve">(2) Für den Beschluß der Mitgliederversammlung von Genossenschaften, durch den die Geschäftsguthaben, die Geschäftsanteile und die Haftsummen neu festgesetzt werden, genügt die einfache Mehrheit der abgegebenen Stimmen, auch wenn gesetzliche Vorschriften oder das Statut etwas anderes bestimmen. Wird mit der Neufestsetzung gleichzeitig eine Erhöhung der neu festgesetzten Geschäftsanteile beschlossen, so sind die Vorschriften des Gesetzes betreffend die Erwerbs- und Wirtschaftsgenossenschaften nur anzuwenden, wenn die Erhöhung nicht aus vorhandenem Eigenkapital erfolgt.</w:t>
      </w:r>
    </w:p>
    <w:p>
      <w:r>
        <w:rPr>
          <w:color w:val="555555"/>
          <w:sz w:val="17"/>
        </w:rPr>
        <w:t xml:space="preserve">Zitiervorschlag: § 56a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https://recht.nulegal.eu/gesetze/DMBilG/56a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