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DMBilG — Steuerliche Ausgangswerte in anderen Fällen</w:t>
      </w:r>
    </w:p>
    <w:p>
      <w:r>
        <w:rPr>
          <w:color w:val="555555"/>
          <w:sz w:val="18"/>
        </w:rPr>
        <w:t xml:space="preserve">D-Markbilanzgesetz</w:t>
      </w:r>
    </w:p>
    <w:p>
      <w:r>
        <w:rPr>
          <w:color w:val="555555"/>
          <w:sz w:val="18"/>
        </w:rPr>
        <w:t xml:space="preserve">Stand: 10.06.2019 (konsolidierte Textfassung, kein amtliches Inkrafttretensdatum)</w:t>
      </w:r>
    </w:p>
    <w:p>
      <w:r>
        <w:t xml:space="preserve">(1) Bei Steuerpflichtigen, die ihren Gewinn nach § 4 Abs. 3 des Einkommensteuergesetzes ermitteln, gelten als Anschaffungs- oder Herstellungskosten der Wirtschaftsgüter, die spätestens am 1. Juli 1990 Anlagevermögen gewesen sind oder auf den Steuerpflichtigen mit Wirkung vom 1. Juli 1990 übertragen worden sind, die Werte, die sich in entsprechender Anwendung der §§ 7 bis 11 und 18 ergeben. Wirtschaftsgüter nach Satz 1 sind unter Angabe ihres Werts zum 1. Juli 1990 in ein besonderes Verzeichnis (Anlageverzeichnis) aufzunehmen. Ergibt sich bis zum 31. Dezember 1994 einschließlich, daß sie zum 1. Juli 1990 nicht angesetzt werden durften oder zu Unrecht nicht oder wesentlich zu hoch oder zu niedrig angesetzt worden sind, so ist das Anlageverzeichnis insoweit zu berichtigen; sind bereits Steuerbescheide erlassen worden, so sind sie zu ändern, soweit die Berichtigung zu einem geänderten Gewinn oder Verlust führt.</w:t>
      </w:r>
    </w:p>
    <w:p>
      <w:r>
        <w:t xml:space="preserve">(2) Absatz 1 Satz 1 und 3 ist auf Steuerpflichtige mit Einkünften aus nichtselbständiger Arbeit, Kapitalvermögen, Vermietung und Verpachtung oder mit anderen Einkünften nach §§ 17 und 22 des Einkommensteuergesetzes entsprechend anzuwenden. Rückübertragungen nach dem Vermögensgesetz sind keine Anschaffungen. In diesen Fällen gelten als Anschaffungs- oder Herstellungskosten die Werte, die sich in entsprechender Anwendung des Absatzes 1 Satz 1 und 3 ergeben.</w:t>
      </w:r>
    </w:p>
    <w:p>
      <w:r>
        <w:rPr>
          <w:color w:val="555555"/>
          <w:sz w:val="17"/>
        </w:rPr>
        <w:t xml:space="preserve">Zitiervorschlag: § 52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