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DMBilG — Umstellungsbedingte Vermögensänderungen</w:t>
      </w:r>
    </w:p>
    <w:p>
      <w:r>
        <w:rPr>
          <w:color w:val="555555"/>
          <w:sz w:val="18"/>
        </w:rPr>
        <w:t xml:space="preserve">D-Markbilanzgesetz</w:t>
      </w:r>
    </w:p>
    <w:p>
      <w:r>
        <w:rPr>
          <w:color w:val="555555"/>
          <w:sz w:val="18"/>
        </w:rPr>
        <w:t xml:space="preserve">Stand: 10.06.2019 (konsolidierte Textfassung, kein amtliches Inkrafttretensdatum)</w:t>
      </w:r>
    </w:p>
    <w:p>
      <w:r>
        <w:t xml:space="preserve">(1) Die aus der Eröffnungsbilanz und der Neufestsetzung nach § 26 Abs. 2 bis 4, §§ 27, 28, 30 sich ergebenden zahlenmäßigen Veränderungen im Vermögen der in § 50 Abs. 1 oder 5 bezeichneten Steuerpflichtigen sowie deren Gesellschafter oder Mitglieder wirken sich auf die Steuern vom Einkommen und Ertrag nicht aus. Dies gilt insbesondere für die Bildung von Rücklagen oder die Auflösung bisheriger Unterbewertungen, wenn die Erträge auf der Neubewertung von Vermögensgegenständen und Schulden beruhen, die spätestens am 1. Juli 1990 Betriebsvermögen gewesen sind oder auf das Unternehmen mit Wirkung vom 1. Juli 1990 übertragen worden sind, oder auf dem Erlaß von Schulden beruhen.</w:t>
      </w:r>
    </w:p>
    <w:p>
      <w:r>
        <w:t xml:space="preserve">(2) Die aus der Neufestsetzung sich ergebenden zahlenmäßigen Veränderungen im Vermögen der in § 1 bezeichneten Gesellschaften und deren Gesellschafter und im Vermögen der in § 1 bezeichneten Genossenschaften und deren Genossen unterliegen nicht den Steuern vom Kapitalverkehr.</w:t>
      </w:r>
    </w:p>
    <w:p>
      <w:r>
        <w:rPr>
          <w:color w:val="555555"/>
          <w:sz w:val="17"/>
        </w:rPr>
        <w:t xml:space="preserve">Zitiervorschlag: § 51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