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DMBilG — Anzuwendende Vorschriften</w:t>
      </w:r>
    </w:p>
    <w:p>
      <w:r>
        <w:rPr>
          <w:color w:val="555555"/>
          <w:sz w:val="18"/>
        </w:rPr>
        <w:t xml:space="preserve">D-Markbilanzgesetz</w:t>
      </w:r>
    </w:p>
    <w:p>
      <w:r>
        <w:rPr>
          <w:color w:val="555555"/>
          <w:sz w:val="18"/>
        </w:rPr>
        <w:t xml:space="preserve">Stand: 10.06.2019 (konsolidierte Textfassung, kein amtliches Inkrafttretensdatum)</w:t>
      </w:r>
    </w:p>
    <w:p>
      <w:r>
        <w:t xml:space="preserve">(1) Auf die Eröffnungsbilanz sind die §§ 243 bis 261 des Handelsgesetzbuchs mit Ausnahme von § 243 Abs. 3, § 247 Abs. 3, §§ 252, 253 Abs. 1 Satz 1, Abs. 4, § 255 Abs. 3, § 256 Satz 1 entsprechend anzuwenden, soweit sie sich auf die Bilanz beziehen und dieses Gesetz keine abweichenden Regelungen enthält; Angaben über verbundene Unternehmen brauchen nicht gemacht zu werden. Unternehmen, die nicht Einzelkaufmann oder Personenhandelsgesellschaft sind, haben außerdem § 265 Abs. 3 bis 8, §§ 266, 268 Abs. 3 bis 7, §§ 270 bis 272, Genossenschaften die §§ 336, 337 des Handelsgesetzbuchs anzuwenden, soweit dieses Gesetz abweichende Regelungen nicht enthält oder geschäftszweigbezogene Vorschriften über Form und Inhalt der Bilanz nicht zu beachten sind.</w:t>
      </w:r>
    </w:p>
    <w:p>
      <w:r>
        <w:t xml:space="preserve">(2) Werden in der Eröffnungsbilanz die Größenmerkmale des § 267 Abs. 1 oder 2 des Handelsgesetzbuchs bezüglich der Bilanzsumme oder der Arbeitnehmerzahl nicht überschritten, dürfen kleine Unternehmen die Erleichterungen des § 266 Abs. 1 Satz 3 des Handelsgesetzbuchs und mittelgroße Unternehmen die Erleichterungen des § 327 Nr. 1 des Handelsgesetzbuchs bereits bei der Aufstellung der Eröffnungsbilanz in Anspruch nehmen.</w:t>
      </w:r>
    </w:p>
    <w:p>
      <w:r>
        <w:rPr>
          <w:color w:val="555555"/>
          <w:sz w:val="17"/>
        </w:rPr>
        <w:t xml:space="preserve">Zitiervorschlag: § 5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