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DMBilG — Bußgeldvorschriften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als Mitglied des vertretungsberechtigten Organs oder des Aufsichtsrats eines Unternehmens oder als Geschäftsleiter im Sinne des § 1 Abs. 2 Satz 1 oder des § 53 Abs. 2 Nr. 1 des Gesetzes über das Kreditwesen oder als Inhaber eines in der Rechtsform des Einzelkaufmanns betriebenen Unternehmens</w:t>
      </w:r>
    </w:p>
    <w:p>
      <w:pPr>
        <w:ind w:left="420"/>
      </w:pPr>
      <w:r>
        <w:t xml:space="preserve">1. bei der Aufstellung oder Feststellung der Eröffnungsbilanz oder des Anhangs einer Vorschrift</w:t>
      </w:r>
    </w:p>
    <w:p>
      <w:pPr>
        <w:ind w:left="780"/>
      </w:pPr>
      <w:r>
        <w:t xml:space="preserve">a) des § 4 Abs. 2 Satz 1 oder 2 oder des § 5 Abs. 1 Satz 1 in Verbindung mit § 243 Abs. 1 oder 2, §§ 244, 245, 246, 247 Abs. 1 oder 2, §§ 248, 249 Abs. 1 Satz 1 oder Abs. 3, § 250 Abs. 1 Satz 1 oder Abs. 2 oder § 251 des Handelsgesetzbuchs über Form oder Inhalt,</w:t>
      </w:r>
    </w:p>
    <w:p>
      <w:pPr>
        <w:ind w:left="780"/>
      </w:pPr>
      <w:r>
        <w:t xml:space="preserve">b) des § 5 Abs. 1 Satz 1 in Verbindung mit § 253 Abs. 1 Satz 2, Abs. 2 Satz 1, 2 oder 3 oder Abs. 3 Satz 1 oder 2, § 255 Abs. 1 oder 2 Satz 1, 2 oder 6 des Handelsgesetzbuchs oder der §§ 6 bis 18 über die Bewertung,</w:t>
      </w:r>
    </w:p>
    <w:p>
      <w:pPr>
        <w:ind w:left="780"/>
      </w:pPr>
      <w:r>
        <w:t xml:space="preserve">c) des § 5 Abs. 1 Satz 2 in Verbindung mit § 265 Abs. 3 bis 8, §§ 266, 268 Abs. 3 bis 7 oder § 272 des Handelsgesetzbuchs oder des § 39 Abs. 1 oder 2 oder des § 45 über die Gliederung oder</w:t>
      </w:r>
    </w:p>
    <w:p>
      <w:pPr>
        <w:ind w:left="780"/>
      </w:pPr>
      <w:r>
        <w:t xml:space="preserve">d) des § 19 Abs. 1 bis 3, der §§ 20 oder 22 über die im Anhang zu machenden Angaben,</w:t>
      </w:r>
    </w:p>
    <w:p>
      <w:pPr>
        <w:ind w:left="420"/>
      </w:pPr>
      <w:r>
        <w:t xml:space="preserve">2. bei der Aufstellung der Konzerneröffnungsbilanz oder des Konzernanhangs einer Vorschrift</w:t>
      </w:r>
    </w:p>
    <w:p>
      <w:pPr>
        <w:ind w:left="780"/>
      </w:pPr>
      <w:r>
        <w:t xml:space="preserve">a) des § 21 Abs. 3 über den Konsolidierungskreis,</w:t>
      </w:r>
    </w:p>
    <w:p>
      <w:pPr>
        <w:ind w:left="780"/>
      </w:pPr>
      <w:r>
        <w:t xml:space="preserve">b) des § 21 Abs. 4 Satz 1 in Verbindung mit den §§ 5 bis 19 oder § 297 Abs. 2 oder 3 oder § 298 Abs. 1 des Handelsgesetzbuchs, dieser in Verbindung mit § 243 Abs. 1 oder 2, §§ 244, 245, 246, 247 Abs. 1 oder 2, §§ 248, 249 Abs. 1 Satz 1 oder Abs. 3, § 250 Abs. 1 Satz 1 oder Abs. 2 oder § 251 des Handelsgesetzbuchs, über Form oder Inhalt,</w:t>
      </w:r>
    </w:p>
    <w:p>
      <w:pPr>
        <w:ind w:left="780"/>
      </w:pPr>
      <w:r>
        <w:t xml:space="preserve">c) des § 21 Abs. 4 Satz 1 in Verbindung mit § 300 des Handelsgesetzbuchs über die Konsolidierungsgrundsätze oder das Vollständigkeitsgebot,</w:t>
      </w:r>
    </w:p>
    <w:p>
      <w:pPr>
        <w:ind w:left="780"/>
      </w:pPr>
      <w:r>
        <w:t xml:space="preserve">d) des § 21 Abs. 4 Satz 1 in Verbindung mit § 311 Abs. 1 Satz 1 des Handelsgesetzbuchs, dieser in Verbindung mit § 312 des Handelsgesetzbuchs, über die Behandlung assoziierter Unternehmen, oder</w:t>
      </w:r>
    </w:p>
    <w:p>
      <w:pPr>
        <w:ind w:left="780"/>
      </w:pPr>
      <w:r>
        <w:t xml:space="preserve">e) des § 22 über die im Konzernanhang zu machenden Angaben,</w:t>
      </w:r>
    </w:p>
    <w:p>
      <w:pPr>
        <w:ind w:left="420"/>
      </w:pPr>
      <w:r>
        <w:t xml:space="preserve">3. bei der Offenlegung, Veröffentlichung oder Vervielfältigung einer Vorschrift des § 37 Abs. 1 Satz 1 in Verbindung mit § 328 des Handelsgesetzbuchs über Form oder Inhalt oder</w:t>
      </w:r>
    </w:p>
    <w:p>
      <w:pPr>
        <w:ind w:left="420"/>
      </w:pPr>
      <w:r>
        <w:t xml:space="preserve">4. der Vorschrift des § 37 Abs. 4 über die Einreichung der D-Markeröffnungsbilanz</w:t>
      </w:r>
    </w:p>
    <w:p>
      <w:r>
        <w:t xml:space="preserve">zuwiderhandelt.</w:t>
      </w:r>
    </w:p>
    <w:p>
      <w:r>
        <w:t xml:space="preserve">(2) Ordnungswidrig handelt auch, wer zu einer Eröffnungsbilanz oder einem Anhang oder einer Konzerneröffnungsbilanz oder einem Konzernanhang, die auf Grund gesetzlicher Vorschriften zu prüfen sind, einen Vermerk nach § 322 des Handelsgesetzbuchs erteilt, obwohl nach § 34 Abs. 5 in Verbindung mit § 319 Abs. 2, 3, 5, § 319a Abs. 1 Satz 1, Abs. 2 des Handelsgesetzbuchs er oder nach § 34 Abs. 5 in Verbindung mit § 319 Absatz 4 des Handelsgesetzbuchs, auch in Verbindung mit § 319a Absatz 1 Satz 2 des Handelsgesetzbuchs, die Wirtschaftsprüfungsgesellschaft oder Buchprüfungsgesellschaft, für die er tätig wird, nicht Prüfer sein darf.</w:t>
      </w:r>
    </w:p>
    <w:p>
      <w:r>
        <w:t xml:space="preserve">(3) Die Ordnungswidrigkeit kann mit einer Geldbuße bis zu fünfzigtausend Euro geahndet werden.</w:t>
      </w:r>
    </w:p>
    <w:p>
      <w:r>
        <w:t xml:space="preserve">(4) Verwaltungsbehörde im Sinn des § 36 Abs. 1 Nr. 1 des Gesetzes über Ordnungswidrigkeiten ist in den Fällen der Absätze 1 und 2 das Bundesamt für Justiz.</w:t>
      </w:r>
    </w:p>
    <w:p>
      <w:r>
        <w:rPr>
          <w:color w:val="555555"/>
          <w:sz w:val="17"/>
        </w:rPr>
        <w:t xml:space="preserve">Zitiervorschlag: § 48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