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47 DMBilG — Strafvorschriften</w:t>
      </w:r>
    </w:p>
    <w:p>
      <w:r>
        <w:rPr>
          <w:color w:val="555555"/>
          <w:sz w:val="18"/>
        </w:rPr>
        <w:t xml:space="preserve">D-Markbilanzgesetz</w:t>
      </w:r>
    </w:p>
    <w:p>
      <w:r>
        <w:rPr>
          <w:color w:val="555555"/>
          <w:sz w:val="18"/>
        </w:rPr>
        <w:t xml:space="preserve">Stand: 10.06.2019 (konsolidierte Textfassung, kein amtliches Inkrafttretensdatum)</w:t>
      </w:r>
    </w:p>
    <w:p>
      <w:r>
        <w:t xml:space="preserve">(1) Die Strafvorschriften der §§ 331 bis 333 des Handelsgesetzbuchs sind auf die Eröffnungsbilanz, den Anhang, die Konzerneröffnungsbilanz, den Konzernanhang und die nach diesem Gesetz zu bestellenden Prüfer entsprechend anzuwenden. Satz 1 gilt auch für nicht in der Rechtsform einer Kapitalgesellschaft betriebene Unternehmen.</w:t>
      </w:r>
    </w:p>
    <w:p>
      <w:r>
        <w:t xml:space="preserve">(2) § 331 des Handelsgesetzbuchs ist darüber hinaus auch anzuwenden auf die Verletzung von Pflichten durch den Geschäftsleiter (§ 1 Abs. 2 Satz 1 des Gesetzes über das Kreditwesen) eines nicht in der Rechtsform einer Kapitalgesellschaft betriebenen Geldinstituts, durch den Inhaber eines in der Rechtsform des Einzelkaufmanns betriebenen Geldinstituts oder durch den Geschäftsleiter im Sinne des § 53 Abs. 2 Nr. 1 des Gesetzes über das Kreditwesen.</w:t>
      </w:r>
    </w:p>
    <w:p>
      <w:r>
        <w:rPr>
          <w:color w:val="555555"/>
          <w:sz w:val="17"/>
        </w:rPr>
        <w:t xml:space="preserve">Zitiervorschlag: § 47 DMBilG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https://recht.nulegal.eu/gesetze/DMBilG/47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