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DMBilG — Prüfung. Einreichung</w:t>
      </w:r>
    </w:p>
    <w:p>
      <w:r>
        <w:rPr>
          <w:color w:val="555555"/>
          <w:sz w:val="18"/>
        </w:rPr>
        <w:t xml:space="preserve">D-Markbilanzgesetz</w:t>
      </w:r>
    </w:p>
    <w:p>
      <w:r>
        <w:rPr>
          <w:color w:val="555555"/>
          <w:sz w:val="18"/>
        </w:rPr>
        <w:t xml:space="preserve">Stand: 10.06.2019 (konsolidierte Textfassung, kein amtliches Inkrafttretensdatum)</w:t>
      </w:r>
    </w:p>
    <w:p>
      <w:r>
        <w:t xml:space="preserve">(1) Versicherungsunternehmen können abweichend von § 34 Abs. 1 nur von einem Wirtschaftsprüfer oder einer Wirtschaftsprüfungsgesellschaft geprüft werden.</w:t>
      </w:r>
    </w:p>
    <w:p>
      <w:r>
        <w:t xml:space="preserve">(2) Die D-Markeröffnungsbilanz, der Anhang sowie die Schlußbilanz zum 30. Juni 1990 sind spätestens vor Ablauf des elften Monats nach dem Bilanzstichtag, die Konzerneröffnungsbilanz und der Konzernanhang spätestens vor Ablauf des siebzehnten Monats dem Bundesaufsichtsamt für das Versicherungswesen in zweifacher Ausfertigung einzureichen. Der Bericht des Prüfers über die Prüfung nach § 33 Abs. 1 Satz 1 ist spätestens vor Ablauf des zwölften Monats nach dem Bilanzstichtag, der Bericht über die Prüfung nach § 33 Abs. 3 Satz 1 spätestens vor Ablauf des neunzehnten Monats dem Bundesaufsichtsamt für das Versicherungswesen in zweifacher Ausfertigung einzureichen.</w:t>
      </w:r>
    </w:p>
    <w:p>
      <w:r>
        <w:rPr>
          <w:color w:val="555555"/>
          <w:sz w:val="17"/>
        </w:rPr>
        <w:t xml:space="preserve">Zitiervorschlag: § 46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