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DMBilG — Eröffnungsbilanz</w:t>
      </w:r>
    </w:p>
    <w:p>
      <w:r>
        <w:rPr>
          <w:color w:val="555555"/>
          <w:sz w:val="18"/>
        </w:rPr>
        <w:t xml:space="preserve">D-Markbilanzgesetz</w:t>
      </w:r>
    </w:p>
    <w:p>
      <w:r>
        <w:rPr>
          <w:color w:val="555555"/>
          <w:sz w:val="18"/>
        </w:rPr>
        <w:t xml:space="preserve">Stand: 10.06.2019 (konsolidierte Textfassung, kein amtliches Inkrafttretensdatum)</w:t>
      </w:r>
    </w:p>
    <w:p>
      <w:r>
        <w:t xml:space="preserve">(1) Versicherungsunternehmen haben abweichend von § 265 Abs. 6, 7, §§ 266 bis 268 des Handelsgesetzbuchs und unbeschadet einer weiteren Gliederung die Eröffnungsbilanz gemäß der Verordnung über die Rechnungslegung von Versicherungsunternehmen vom 11. Juli 1973, zuletzt geändert durch Verordnung vom 23. Dezember 1986 (BGBl. 1987 I S. 2), aufzustellen.</w:t>
      </w:r>
    </w:p>
    <w:p>
      <w:r>
        <w:t xml:space="preserve">(2) (weggefallen)</w:t>
      </w:r>
    </w:p>
    <w:p>
      <w:r>
        <w:t xml:space="preserve">(3) Versicherungsunternehmen haben im Anhang zusätzlich die in § 12 Nr. 3 der Verordnung über die Rechnungslegung von Versicherungsunternehmen vom 11. Juli 1973 vorgeschriebenen Angaben zu machen.</w:t>
      </w:r>
    </w:p>
    <w:p>
      <w:r>
        <w:rPr>
          <w:color w:val="555555"/>
          <w:sz w:val="17"/>
        </w:rPr>
        <w:t xml:space="preserve">Zitiervorschlag: § 45 DMBilG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https://recht.nulegal.eu/gesetze/DMBilG/45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