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DMBilG — Prüfung</w:t>
      </w:r>
    </w:p>
    <w:p>
      <w:r>
        <w:rPr>
          <w:color w:val="555555"/>
          <w:sz w:val="18"/>
        </w:rPr>
        <w:t xml:space="preserve">D-Markbilanzgesetz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Geldinstitute und Außenhandelsbetriebe in der Rechtsform einer Kapitalgesellschaft oder des öffentlichen Rechts können abweichend von § 34 Abs. 1 nur von einem Wirtschaftsprüfer oder einer Wirtschaftsprüfungsgesellschaft geprüft werden, soweit sie nicht Sparkassen sind.</w:t>
      </w:r>
    </w:p>
    <w:p>
      <w:r>
        <w:t xml:space="preserve">(2) Die Prüfung erstreckt sich auch auf die Frage, ob bei der nachträglichen Umstellung von Kontoguthaben natürlicher Personen die Voraussetzungen gemäß Artikel 5 Abs. 7 der Anlage I zum Vertrag über die Schaffung einer Währungs-, Wirtschafts- und Sozialunion zwischen der Bundesrepublik Deutschland und der Deutschen Demokratischen Republik für die Wiedereinsetzung in den vorigen Stand vorlagen.</w:t>
      </w:r>
    </w:p>
    <w:p>
      <w:r>
        <w:rPr>
          <w:color w:val="555555"/>
          <w:sz w:val="17"/>
        </w:rPr>
        <w:t xml:space="preserve">Zitiervorschlag: § 43 DMBilG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https://recht.nulegal.eu/gesetze/DMBilG/43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