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DMBilG — Vergleichende Darstellung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Geldinstitute haben in der vergleichenden Darstellung nach § 20 außerdem anzugeben,</w:t>
      </w:r>
    </w:p>
    <w:p>
      <w:pPr>
        <w:ind w:left="420"/>
      </w:pPr>
      <w:r>
        <w:t xml:space="preserve">1. für welche Forderungen über zehntausend Deutsche Mark sie zum Stichtag 1. Juli 1990 Einzelwertberichtigungen gebildet oder Abschreibungen vorgenommen haben; die abgesetzten Beträge sind anzugeben und zu begründen;</w:t>
      </w:r>
    </w:p>
    <w:p>
      <w:pPr>
        <w:ind w:left="420"/>
      </w:pPr>
      <w:r>
        <w:t xml:space="preserve">2. die Anzahl der Konten, auf denen Guthaben in Mark der Deutschen Demokratischen Republik</w:t>
      </w:r>
    </w:p>
    <w:p>
      <w:pPr>
        <w:ind w:left="780"/>
      </w:pPr>
      <w:r>
        <w:t xml:space="preserve">a) bis zu zweitausend Deutsche Mark im Verhältnis eins zu eins,</w:t>
      </w:r>
    </w:p>
    <w:p>
      <w:pPr>
        <w:ind w:left="780"/>
      </w:pPr>
      <w:r>
        <w:t xml:space="preserve">b) bis zu viertausend Deutsche Mark im Verhältnis eins zu eins,</w:t>
      </w:r>
    </w:p>
    <w:p>
      <w:pPr>
        <w:ind w:left="780"/>
      </w:pPr>
      <w:r>
        <w:t xml:space="preserve">c) bis zu sechstausend Deutsche Mark im Verhältnis eins zu eins</w:t>
      </w:r>
    </w:p>
    <w:p>
      <w:pPr>
        <w:ind w:left="420"/>
      </w:pPr>
      <w:r>
        <w:t xml:space="preserve">gutgeschrieben wurden;</w:t>
      </w:r>
    </w:p>
    <w:p>
      <w:pPr>
        <w:ind w:left="420"/>
      </w:pPr>
      <w:r>
        <w:t xml:space="preserve">3. den Gesamtbetrag der Guthaben in Mark der Deutschen Demokratischen Republik, für die ein Umstellungsantrag noch gestellt werden kann.</w:t>
      </w:r>
    </w:p>
    <w:p>
      <w:r>
        <w:rPr>
          <w:color w:val="555555"/>
          <w:sz w:val="17"/>
        </w:rPr>
        <w:t xml:space="preserve">Zitiervorschlag: § 42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