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DMBilG — Eröffnungsbilanz</w:t>
      </w:r>
    </w:p>
    <w:p>
      <w:r>
        <w:rPr>
          <w:color w:val="555555"/>
          <w:sz w:val="18"/>
        </w:rPr>
        <w:t xml:space="preserve">D-Markbilanzgesetz</w:t>
      </w:r>
    </w:p>
    <w:p>
      <w:r>
        <w:rPr>
          <w:color w:val="555555"/>
          <w:sz w:val="18"/>
        </w:rPr>
        <w:t xml:space="preserve">Stand: 10.06.2019 (konsolidierte Textfassung, kein amtliches Inkrafttretensdatum)</w:t>
      </w:r>
    </w:p>
    <w:p>
      <w:r>
        <w:t xml:space="preserve">(1) Geldinstitute haben abweichend von § 247 Abs. 1, §§ 251, 265 Abs. 5 bis 7, §§ 266 bis 268 des Handelsgesetzbuchs und unbeschadet einer weiteren Gliederung die Eröffnungsbilanz gemäß der Verordnung über Formblätter für die Gliederung des Jahresabschlusses von Kreditinstituten in der Fassung der Bekanntmachung vom 14. September 1987 (BGBl. I S. 2169) aufzustellen, und zwar</w:t>
      </w:r>
    </w:p>
    <w:p>
      <w:pPr>
        <w:ind w:left="420"/>
      </w:pPr>
      <w:r>
        <w:t xml:space="preserve">1. Geldinstitute, die Kapitalgesellschaft sind, nach dem Muster 1 dieser Verordnung für die Bilanz,</w:t>
      </w:r>
    </w:p>
    <w:p>
      <w:pPr>
        <w:ind w:left="420"/>
      </w:pPr>
      <w:r>
        <w:t xml:space="preserve">2. Geldinstitute, die eingetragene Genossenschaft sind, nach dem Muster 2 dieser Verordnung für die Bilanz,</w:t>
      </w:r>
    </w:p>
    <w:p>
      <w:pPr>
        <w:ind w:left="420"/>
      </w:pPr>
      <w:r>
        <w:t xml:space="preserve">3. Geldinstitute, die Sparkasse sind, und andere Geldinstitute des öffentlichen Rechts nach Mustern, die durch Änderung dieser Verordnung festgelegt werden.</w:t>
      </w:r>
    </w:p>
    <w:p>
      <w:r>
        <w:t xml:space="preserve">(2) Geldinstitute haben in der Eröffnungsbilanz Pauschalwertberichtigungen nach § 13 Abs. 3 auf Forderungen aus Bankgeschäften in Höhe von 1 vom Hundert und auf Eventualforderungen des Bankgeschäfts aus Bürgschaften und sonstigen Gewährleistungen in Höhe von 0,5 vom Hundert vom Gesamtbetrag der Forderungen an Kunden abzusetzen, soweit diese sich nicht gegen eine Gebietskörperschaft, eine Körperschaft des öffentlichen Rechts, eine Anstalt oder ein Geldinstitut im Währungsgebiet der Deutschen Mark richten oder von ihnen verbürgt sind.</w:t>
      </w:r>
    </w:p>
    <w:p>
      <w:r>
        <w:t xml:space="preserve">(3) Die Beibehaltung der Pauschalwertberichtigung in künftigen Bilanzen richtet sich nach den allgemeinen Bewertungsgrundsätzen.</w:t>
      </w:r>
    </w:p>
    <w:p>
      <w:r>
        <w:t xml:space="preserve">(4) Abweichend von § 16 Abs. 1 sind die nachstehend bezeichneten auf Mark der Deutschen Demokratischen Republik lautenden Verbindlichkeiten der Geldinstitute, die vor dem 1. Juli 1990 begründet wurden, mit der Wirkung auf Deutsche Mark umzurechnen, daß für eine Mark der Deutschen Demokratischen Republik eine Deutsche Mark anzusetzen ist: Verbindlichkeiten gegenüber natürlichen Personen mit Wohnsitz in der Deutschen Demokratischen Republik,</w:t>
      </w:r>
    </w:p>
    <w:p>
      <w:pPr>
        <w:ind w:left="420"/>
      </w:pPr>
      <w:r>
        <w:t xml:space="preserve">- die nach dem 1. Juli 1976 geboren sind, bis zu zweitausend Mark,</w:t>
      </w:r>
    </w:p>
    <w:p>
      <w:pPr>
        <w:ind w:left="420"/>
      </w:pPr>
      <w:r>
        <w:t xml:space="preserve">- die zwischen dem 2. Juli 1931 und dem 1. Juli 1976 geboren sind, bis zu viertausend Mark,</w:t>
      </w:r>
    </w:p>
    <w:p>
      <w:pPr>
        <w:ind w:left="420"/>
      </w:pPr>
      <w:r>
        <w:t xml:space="preserve">- die vor dem 2. Juli 1931 geboren sind, bis zu sechstausend Mark,</w:t>
      </w:r>
    </w:p>
    <w:p>
      <w:r>
        <w:t xml:space="preserve">sofern sie einen entsprechenden Antrag gestellt haben. Ferner sind die nach dem 31. Dezember 1989 begründeten Verbindlichkeiten gegenüber natürlichen oder juristischen Personen oder Stellen, deren Wohnsitz sich außerhalb der Deutschen Demokratischen Republik befindet, in der Weise umzustellen, daß für drei Mark der Deutschen Demokratischen Republik eine Deutsche Mark gutgeschrieben wird, sofern diese Personen oder Stellen einen entsprechenden Antrag gestellt haben.</w:t>
      </w:r>
    </w:p>
    <w:p>
      <w:r>
        <w:rPr>
          <w:color w:val="555555"/>
          <w:sz w:val="17"/>
        </w:rPr>
        <w:t xml:space="preserve">Zitiervorschlag: § 39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