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DMBilG — Offenlegung</w:t>
      </w:r>
    </w:p>
    <w:p>
      <w:r>
        <w:rPr>
          <w:color w:val="555555"/>
          <w:sz w:val="18"/>
        </w:rPr>
        <w:t xml:space="preserve">D-Markbilanzgesetz</w:t>
      </w:r>
    </w:p>
    <w:p>
      <w:r>
        <w:rPr>
          <w:color w:val="555555"/>
          <w:sz w:val="18"/>
        </w:rPr>
        <w:t xml:space="preserve">Stand: 10.06.2019 (konsolidierte Textfassung, kein amtliches Inkrafttretensdatum)</w:t>
      </w:r>
    </w:p>
    <w:p>
      <w:r>
        <w:t xml:space="preserve">(1) Unternehmen haben die Eröffnungsbilanz und den Anhang sowie die Konzerneröffnungsbilanz und den Konzernanhang innerhalb eines Monats nach Ablauf der jeweiligen Feststellungsfrist offenzulegen, wenn sie nach ihrer Rechtsform oder wegen ihres Geschäftszweigs zur Offenlegung ihrer Jahresabschlüsse verpflichtet sind oder wenn sie in ihrer Eröffnungsbilanz oder in ihrer Konzerneröffnungsbilanz eine Bilanzsumme von mehr als einhundertfünfundzwanzig Millionen Deutsche Mark ausweisen und am Bilanzstichtag mehr als fünftausend Arbeitnehmer beschäftigen. Die §§ 325, 326, 328 und 339 des Handelsgesetzbuchs sind entsprechend anzuwenden; auf die Bestimmung der Größenmerkmale ist § 5 Abs. 2 anzuwenden. Die vergleichende Darstellung nach § 20 braucht nicht offengelegt zu werden. § 4 des Gesetzes über die Inkraftsetzung von Rechtsvorschriften der Bundesrepublik Deutschland in der Deutschen Demokratischen Republik vom 21. Juni 1990 (GBl. I Nr. 34 S. 357) ist nicht anzuwenden.</w:t>
      </w:r>
    </w:p>
    <w:p>
      <w:r>
        <w:t xml:space="preserve">(2) Das Registergericht prüft bei der Einreichung der Unterlagen, ob die Unterlagen vollzählig sind und, sofern vorgeschrieben, fristgerecht bekanntgemacht worden sind.</w:t>
      </w:r>
    </w:p>
    <w:p>
      <w:r>
        <w:t xml:space="preserve">(3) Ist die Prüfung der Gründung, Umwandlung oder von Sacheinlagen in die Prüfung der Eröffnungsbilanz einbezogen worden, so kann das Gericht unterstellen, daß die Wertansätze für Vermögensgegenstände in der Eröffnungsbilanz deren tatsächlichem Wert entsprechen, wenn die Eröffnungsbilanz und der Anhang einen uneingeschränkten Bestätigungsvermerk erhalten haben.</w:t>
      </w:r>
    </w:p>
    <w:p>
      <w:r>
        <w:t xml:space="preserve">(4) Unternehmen, die nach den bis zum 30. Juni 1990 gültigen Rechtsvorschriften gegenüber dem Statistischen Amt der Deutschen Demokratischen Republik berichtspflichtig waren, haben die D-Markeröffnungsbilanz unverzüglich nach ihrer Feststellung der Treuhandanstalt in zweifacher Ausfertigung einzureichen.</w:t>
      </w:r>
    </w:p>
    <w:p>
      <w:r>
        <w:rPr>
          <w:color w:val="555555"/>
          <w:sz w:val="17"/>
        </w:rPr>
        <w:t xml:space="preserve">Zitiervorschlag: § 37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