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30 DMBilG — Auflösung von Kapitalentwertungskonten</w:t>
      </w:r>
    </w:p>
    <w:p>
      <w:r>
        <w:rPr>
          <w:color w:val="555555"/>
          <w:sz w:val="18"/>
        </w:rPr>
        <w:t xml:space="preserve">D-Markbilanzgesetz</w:t>
      </w:r>
    </w:p>
    <w:p>
      <w:r>
        <w:rPr>
          <w:color w:val="555555"/>
          <w:sz w:val="18"/>
        </w:rPr>
        <w:t xml:space="preserve">Stand: 10.06.2019 (konsolidierte Textfassung, kein amtliches Inkrafttretensdatum)</w:t>
      </w:r>
    </w:p>
    <w:p>
      <w:r>
        <w:t xml:space="preserve">(1) Wird ein Kapitalentwertungskonto nicht innerhalb der in § 28 Abs. 2 Satz 4 bestimmten Frist ausgeglichen, so hat das für Kapitalmaßnahmen zuständige Organ des Unternehmens spätestens bei der Beschlußfassung über die Verwendung des Ergebnisses aus dem Jahresabschluß des fünften Geschäftsjahrs nach dem Stichtag der Eröffnungsbilanz die Maßnahmen zu beschließen, die erforderlich sind, um das Kapitalentwertungskonto auf andere Weise als durch Tilgung, insbesondere durch Ermäßigung des gezeichneten Kapitals, auszugleichen.</w:t>
      </w:r>
    </w:p>
    <w:p>
      <w:r>
        <w:t xml:space="preserve">(2) Die Maßnahmen gemäß Absatz 1 sind unverzüglich durchzuführen. Ihre Durchführung gilt als endgültige Neufestsetzung. Auf die Ermäßigung des gezeichneten Kapitals sind die für die Rechtsform des Unternehmens maßgeblichen Vorschriften, von Aktiengesellschaften und Kommanditgesellschaften auf Aktien die §§ 229 bis 236 des Aktiengesetzes über die vereinfachte Kapitalherabsetzung anzuwenden.</w:t>
      </w:r>
    </w:p>
    <w:p>
      <w:r>
        <w:rPr>
          <w:color w:val="555555"/>
          <w:sz w:val="17"/>
        </w:rPr>
        <w:t xml:space="preserve">Zitiervorschlag: § 30 DMBilG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https://recht.nulegal.eu/gesetze/DMBilG/30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