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DMBilG — Gesellschaftsrechtliche Beziehungen</w:t>
      </w:r>
    </w:p>
    <w:p>
      <w:r>
        <w:rPr>
          <w:color w:val="555555"/>
          <w:sz w:val="18"/>
        </w:rPr>
        <w:t xml:space="preserve">D-Markbilanzgesetz</w:t>
      </w:r>
    </w:p>
    <w:p>
      <w:r>
        <w:rPr>
          <w:color w:val="555555"/>
          <w:sz w:val="18"/>
        </w:rPr>
        <w:t xml:space="preserve">Stand: 10.06.2019 (konsolidierte Textfassung, kein amtliches Inkrafttretensdatum)</w:t>
      </w:r>
    </w:p>
    <w:p>
      <w:r>
        <w:t xml:space="preserve">(1) Das Verhältnis der mit den Anteilen verbundenen Rechte zueinander wird durch die Neufestsetzung nicht berührt.</w:t>
      </w:r>
    </w:p>
    <w:p>
      <w:r>
        <w:t xml:space="preserve">(2) Vertragliche Beziehungen des Unternehmens zu Dritten, die von der Gewinnausschüttung des Unternehmens, dem Nennbetrag oder dem Wert ihrer Anteile oder ihres gezeichneten Kapitals oder in sonstiger Weise von den bisherigen Kapital- oder Gewinnverhältnissen abhängen, bestimmen sich nach den durch die Neufestsetzung eingetretenen neuen Kapital- oder Gewinnverhältnissen. Dritte brauchen eine durch die Neufestsetzung eintretende Kürzung ihrer Rechte nach Satz 1 nicht gegen sich gelten zu lassen, soweit sie darauf beruht, daß in der Eröffnungsbilanz das gezeichnete Kapital zu den Rücklagen in einem durch §§ 27, 28 nicht bedingten ungünstigeren Verhältnis steht, als dies in der Schlußbilanz der Fall ist.</w:t>
      </w:r>
    </w:p>
    <w:p>
      <w:r>
        <w:t xml:space="preserve">(3) Wird während des Bestehens eines Kapitalentwertungskontos eine Kapitalerhöhung beschlossen, so ist jedem Anteilseigner auf sein Verlangen ein seinem Anteil an dem bisherigen gezeichneten Kapital entsprechender Teil der neuen Anteile zuzuteilen, es sei denn, daß ein Dritter die Anteile übernommen und sich verpflichtet hat, sie den Anteilseignern zum Bezug anzubieten.</w:t>
      </w:r>
    </w:p>
    <w:p>
      <w:r>
        <w:rPr>
          <w:color w:val="555555"/>
          <w:sz w:val="17"/>
        </w:rPr>
        <w:t xml:space="preserve">Zitiervorschlag: § 29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