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DMBilG — Vorläufige Neufestsetzung</w:t>
      </w:r>
    </w:p>
    <w:p>
      <w:r>
        <w:rPr>
          <w:color w:val="555555"/>
          <w:sz w:val="18"/>
        </w:rPr>
        <w:t xml:space="preserve">D-Markbilanzgesetz</w:t>
      </w:r>
    </w:p>
    <w:p>
      <w:r>
        <w:rPr>
          <w:color w:val="555555"/>
          <w:sz w:val="18"/>
        </w:rPr>
        <w:t xml:space="preserve">Stand: 10.06.2019 (konsolidierte Textfassung, kein amtliches Inkrafttretensdatum)</w:t>
      </w:r>
    </w:p>
    <w:p>
      <w:r>
        <w:t xml:space="preserve">(1) An Stelle einer endgültigen Neufestsetzung nach § 27 kann von Unternehmen, die nicht Geldinstitute oder Außenhandelsbetriebe sind, die Neufestsetzung vorläufig in der Weise durchgeführt werden, daß das in der Schlußbilanz in Mark der Deutschen Demokratischen Republik ausgewiesene gezeichnete Kapital (Grundkapital, Stammkapital, Einlagen, Genußrechtskapital, Geschäftsguthaben) mit dem gleichen Betrag in Deutscher Mark in die Eröffnungsbilanz übernommen und der Unterschied, um den der Betrag des gezeichneten Kapitals das bei der Aufstellung der Eröffnungsbilanz ermittelte Eigenkapital übersteigt, als Kapitalentwertungskonto auf der Aktivseite der Eröffnungsbilanz eingestellt wird.</w:t>
      </w:r>
    </w:p>
    <w:p>
      <w:r>
        <w:t xml:space="preserve">(2) Der Betrag, der als Kapitalentwertungskonto ausgewiesen wird, darf nicht höher sein als neun Zehntel des gezeichneten Kapitals. Eine Kapitalrücklage darf nicht beibehalten werden. Eine Gewinnrücklage darf beibehalten werden, soweit diese nach § 31 gebildet worden ist und nach vernünftiger kaufmännischer Beurteilung erwartet werden kann, daß das Unternehmen das Kapitalentwertungskonto aus künftigen Jahresüberschüssen tilgen kann. Das Unternehmen ist verpflichtet, das Kapitalentwertungskonto innerhalb von fünf Geschäftsjahren nach dem Stichtag der Eröffnungsbilanz auszugleichen. Zur Tilgung sind Werterhöhungen auf Grund der Berichtigung von Wertansätzen nach § 36 sowie die Jahresüberschüsse zu verwenden. Eine anderweitige Verwendung ist unzulässig, solange das Kapitalentwertungskonto besteht.</w:t>
      </w:r>
    </w:p>
    <w:p>
      <w:r>
        <w:rPr>
          <w:color w:val="555555"/>
          <w:sz w:val="17"/>
        </w:rPr>
        <w:t xml:space="preserve">Zitiervorschlag: § 28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