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DMBilG — Konzernanhang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Konzernanhang ist § 19 entsprechend anzuwenden. Aus den Anhängen der Tochterunternehmen sind jedoch nur diejenigen Angaben zusammenfassend zu übernehmen, die für die Beurteilung des Konzerns von wesentlicher Bedeutung sind.</w:t>
      </w:r>
    </w:p>
    <w:p>
      <w:r>
        <w:t xml:space="preserve">(2) Im Konzernanhang sind außerdem die nach § 313 Abs. 2 des Handelsgesetzbuchs verlangten Angaben zu machen. § 313 Abs. 3 des Handelsgesetzbuchs ist anzuwenden.</w:t>
      </w:r>
    </w:p>
    <w:p>
      <w:r>
        <w:rPr>
          <w:color w:val="555555"/>
          <w:sz w:val="17"/>
        </w:rPr>
        <w:t xml:space="preserve">Zitiervorschlag: § 22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