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 DMBilG — Anhang</w:t>
      </w:r>
    </w:p>
    <w:p>
      <w:r>
        <w:rPr>
          <w:color w:val="555555"/>
          <w:sz w:val="18"/>
        </w:rPr>
        <w:t xml:space="preserve">D-Markbilanzgesetz</w:t>
      </w:r>
    </w:p>
    <w:p>
      <w:r>
        <w:rPr>
          <w:color w:val="555555"/>
          <w:sz w:val="18"/>
        </w:rPr>
        <w:t xml:space="preserve">Stand: 10.06.2019 (konsolidierte Textfassung, kein amtliches Inkrafttretensdatum)</w:t>
      </w:r>
    </w:p>
    <w:p>
      <w:r>
        <w:t xml:space="preserve">(1) Im Anhang sind die auf die Posten der Eröffnungsbilanz angewandten Bilanzierungs- und Bewertungsmethoden, insbesondere die bei der Neubewertung angewandten, anzugeben und so zu erläutern, daß ein sachverständiger Dritter die Wertansätze beurteilen kann; insbesondere sind bei Schätzungen die Vergleichsmaßstäbe darzustellen. Bei der Ausübung von Wahlrechten sind wesentliche Auswirkungen auf die Vermögenslage gesondert darzustellen. Außerdem sind diejenigen Angaben aufzunehmen, die zu den einzelnen Posten der Eröffnungsbilanz vorgeschrieben oder die im Anhang zu machen sind, weil sie in Ausübung eines Wahlrechts nicht in die Eröffnungsbilanz aufgenommen wurden.</w:t>
      </w:r>
    </w:p>
    <w:p>
      <w:r>
        <w:t xml:space="preserve">(2) Im Anhang sind die Maßnahmen zu beschreiben, die für die Zeit nach dem 30. Juni 1990 getroffen oder geplant worden sind, um das Unternehmen an die veränderten Bedingungen anzupassen. Dazu gehören insbesondere Änderungen des Unternehmenszwecks, Aufgabe oder Neuaufnahme von Produkten, Stillegungen, die Aufspaltung oder der Zusammenschluß mit anderen Unternehmen. Die voraussichtlichen Kosten der Umstrukturierung sind anzugeben.</w:t>
      </w:r>
    </w:p>
    <w:p>
      <w:r>
        <w:t xml:space="preserve">(3) Im Anhang sind ferner anzugeben:</w:t>
      </w:r>
    </w:p>
    <w:p>
      <w:pPr>
        <w:ind w:left="420"/>
      </w:pPr>
      <w:r>
        <w:t xml:space="preserve">1. zu den in der Bilanz ausgewiesenen Verbindlichkeiten</w:t>
      </w:r>
    </w:p>
    <w:p>
      <w:pPr>
        <w:ind w:left="780"/>
      </w:pPr>
      <w:r>
        <w:t xml:space="preserve">a) der Gesamtbetrag der Verbindlichkeiten mit einer Restlaufzeit von mehr als fünf Jahren,</w:t>
      </w:r>
    </w:p>
    <w:p>
      <w:pPr>
        <w:ind w:left="780"/>
      </w:pPr>
      <w:r>
        <w:t xml:space="preserve">b) der Gesamtbetrag der Verbindlichkeiten, die durch Pfandrechte oder ähnliche Rechte gesichert sind, unter Angabe von Art und Form der Sicherheiten;</w:t>
      </w:r>
    </w:p>
    <w:p>
      <w:pPr>
        <w:ind w:left="420"/>
      </w:pPr>
      <w:r>
        <w:t xml:space="preserve">2. die Aufgliederung der in Nummer 1 verlangten Angaben für jeden Posten der Verbindlichkeiten nach dem vorgeschriebenen Gliederungsschema, sofern sich diese Angaben nicht aus der Bilanz ergeben;</w:t>
      </w:r>
    </w:p>
    <w:p>
      <w:pPr>
        <w:ind w:left="420"/>
      </w:pPr>
      <w:r>
        <w:t xml:space="preserve">3. zu dem in der Eröffnungsbilanz ausgewiesenen Grund und Boden sowie zu den Gebäuden und anderen Bauten sind alle gesetzlichen oder vertraglichen Einschränkungen zu vermerken, die sich auf deren Nutzung, Verfügbarkeit oder Verwertung beziehen. Es sind außerdem alle Sachverhalte anzugeben, aus denen sich künftige finanzielle Verpflichtungen ergeben können, insbesondere für Großreparaturen, Rekultivierungs- oder Entsorgungsaufwendungen;</w:t>
      </w:r>
    </w:p>
    <w:p>
      <w:pPr>
        <w:ind w:left="420"/>
      </w:pPr>
      <w:r>
        <w:t xml:space="preserve">4. zu den in der Eröffnungsbilanz ausgewiesenen technischen Anlagen und Maschinen, anderen Anlagen sowie der Betriebs- und Geschäftsausstattung sind deren Zustand (durchschnittliche Abnutzung, technischer Stand) und deren zukünftige Einsatzmöglichkeiten zu beschreiben; der voraussichtliche Investitionsbedarf in den nächsten vier Jahren ist, soweit vorhersehbar, anzugeben;</w:t>
      </w:r>
    </w:p>
    <w:p>
      <w:pPr>
        <w:ind w:left="420"/>
      </w:pPr>
      <w:r>
        <w:t xml:space="preserve">5. Ansprüche, die sich gegen das Unternehmen ergeben können, weil die früheren Eigentümer des Unternehmens, von Unternehmensteilen, Betrieben oder von Vermögensgegenständen enteignet worden sind;</w:t>
      </w:r>
    </w:p>
    <w:p>
      <w:pPr>
        <w:ind w:left="420"/>
      </w:pPr>
      <w:r>
        <w:t xml:space="preserve">6. der Gesamtbetrag der sonstigen finanziellen Verpflichtungen, die nicht in der Bilanz erscheinen und die auch nicht nach § 251 des Handelsgesetzbuchs oder auf Grund anderer Vorschriften dieses Gesetzes anzugeben sind, sofern diese Angaben für die Beurteilung der Finanzlage von Bedeutung sind; davon sind Verpflichtungen gegenüber Gesellschaftern gesondert anzugeben;</w:t>
      </w:r>
    </w:p>
    <w:p>
      <w:pPr>
        <w:ind w:left="420"/>
      </w:pPr>
      <w:r>
        <w:t xml:space="preserve">7. die Zahl der beschäftigten Arbeitnehmer;</w:t>
      </w:r>
    </w:p>
    <w:p>
      <w:pPr>
        <w:ind w:left="420"/>
      </w:pPr>
      <w:r>
        <w:t xml:space="preserve">8. alle Mitglieder des Geschäftsführungsorgans und eines Aufsichtsrats, auch wenn sie nur vorläufig bestellt sind, mit dem Familiennamen und mindestens einem ausgeschriebenen Vornamen. Der Vorsitzende eines Aufsichtsrats, seine Stellvertreter und ein etwaiger Vorsitzender des Geschäftsführungsorgans sind als solche zu bezeichnen;</w:t>
      </w:r>
    </w:p>
    <w:p>
      <w:pPr>
        <w:ind w:left="420"/>
      </w:pPr>
      <w:r>
        <w:t xml:space="preserve">9. Name und Sitz anderer Unternehmen, von denen das Unternehmen oder eine für seine Rechnung handelnde Person mindestens den fünften Teil der Anteile besitzt; außerdem sind die Höhe des Anteils am Kapital und das in der Eröffnungsbilanz ausgewiesene Eigenkapital oder ein nicht durch Eigenkapital gedeckter Fehlbetrag dieser Unternehmen anzugeben; auf die Berechnung der Anteile ist § 16 Abs. 2 und 4 des Aktiengesetzes entsprechend anzuwenden;</w:t>
      </w:r>
    </w:p>
    <w:p>
      <w:pPr>
        <w:ind w:left="420"/>
      </w:pPr>
      <w:r>
        <w:t xml:space="preserve">10. Rückstellungen, die in der Bilanz unter dem Posten "sonstige Rückstellungen" nicht gesondert ausgewiesen werden, sind zu erläutern, wenn sie einen nicht unerheblichen Umfang haben. Aufwandrückstellungen sind stets gesondert anzugeben und zu erläutern;</w:t>
      </w:r>
    </w:p>
    <w:p>
      <w:pPr>
        <w:ind w:left="420"/>
      </w:pPr>
      <w:r>
        <w:t xml:space="preserve">11. Name und Sitz des unmittelbaren Mutterunternehmens sowie der Ort der Offenlegung der von diesem Mutterunternehmen aufgestellten Konzerneröffnungsbilanz.</w:t>
      </w:r>
    </w:p>
    <w:p>
      <w:r>
        <w:t xml:space="preserve">(4) Die in Absatz 2 und 3 verlangten Angaben und Erläuterungen können unterbleiben, soweit sie</w:t>
      </w:r>
    </w:p>
    <w:p>
      <w:pPr>
        <w:ind w:left="420"/>
      </w:pPr>
      <w:r>
        <w:t xml:space="preserve">1. für die Darstellung der Vermögenslage des Unternehmens nach § 264 Abs. 2 des Handelsgesetzbuchs von untergeordneter Bedeutung sind oder</w:t>
      </w:r>
    </w:p>
    <w:p>
      <w:pPr>
        <w:ind w:left="420"/>
      </w:pPr>
      <w:r>
        <w:t xml:space="preserve">2. in den Fällen der Absätze 2 und 3 Nr. 4 und 9 nach vernünftiger kaufmännischer Beurteilung geeignet sind, dem Unternehmen einen erheblichen Nachteil zuzufügen.</w:t>
      </w:r>
    </w:p>
    <w:p>
      <w:r>
        <w:rPr>
          <w:color w:val="555555"/>
          <w:sz w:val="17"/>
        </w:rPr>
        <w:t xml:space="preserve">Zitiervorschlag: § 19 DMBilG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https://recht.nulegal.eu/gesetze/DMBilG/19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