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DMBilG — Verbindlichkeiten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Mark der Deutschen Demokratischen Republik lautende Verbindlichkeiten, die vor dem 1. Juli 1990 begründet wurden, werden, soweit Absatz 2 nichts anderes bestimmt, mit der Wirkung auf Deutsche Mark umgerechnet, daß für zwei Mark der Deutschen Demokratischen Republik eine Deutsche Mark anzusetzen ist.</w:t>
      </w:r>
    </w:p>
    <w:p>
      <w:r>
        <w:t xml:space="preserve">(2) Abweichend von Absatz 1 werden folgende auf Mark der Deutschen Demokratischen Republik lautende Verbindlichkeiten mit der Wirkung auf Deutsche Mark umgerechnet, daß für eine Mark der Deutschen Demokratischen Republik eine Deutsche Mark anzusetzen ist:</w:t>
      </w:r>
    </w:p>
    <w:p>
      <w:pPr>
        <w:ind w:left="420"/>
      </w:pPr>
      <w:r>
        <w:t xml:space="preserve">1. Löhne und Gehälter in Höhe der nach dem 1. Mai 1990 geltenden Tarifverträge sowie Stipendien, die nach dem 30. Juni 1990 fällig werden;</w:t>
      </w:r>
    </w:p>
    <w:p>
      <w:pPr>
        <w:ind w:left="420"/>
      </w:pPr>
      <w:r>
        <w:t xml:space="preserve">2. Renten, die nach dem 30. Juni 1990 fällig werden, soweit sich aus Artikel 20 des Vertrages über die Schaffung einer Währungs-, Wirtschafts- und Sozialunion zwischen der Bundesrepublik Deutschland und der Deutschen Demokratischen Republik nichts anderes ergibt;</w:t>
      </w:r>
    </w:p>
    <w:p>
      <w:pPr>
        <w:ind w:left="420"/>
      </w:pPr>
      <w:r>
        <w:t xml:space="preserve">3. Mieten und Pachten sowie sonstige regelmäßig wiederkehrende Zahlungen, die nach dem 30. Juni 1990 fällig werden, mit Ausnahme wiederkehrender Zahlungen aus und in Lebensversicherungen und privaten Rentenversicherungen.</w:t>
      </w:r>
    </w:p>
    <w:p>
      <w:r>
        <w:t xml:space="preserve">(3) Verbindlichkeiten sind in die Eröffnungsbilanz nicht aufzunehmen, wenn eine schriftliche Erklärung des Gläubigers vorliegt, daß er</w:t>
      </w:r>
    </w:p>
    <w:p>
      <w:pPr>
        <w:ind w:left="420"/>
      </w:pPr>
      <w:r>
        <w:t xml:space="preserve">1. Zahlung nur verlangen wird, soweit die Erfüllung aus dem Jahresüberschuß möglich ist, und</w:t>
      </w:r>
    </w:p>
    <w:p>
      <w:pPr>
        <w:ind w:left="420"/>
      </w:pPr>
      <w:r>
        <w:t xml:space="preserve">2. im Falle der Auflösung, Zahlungsunfähigkeit oder Überschuldung des Unternehmens hinter alle Gläubiger zurücktritt, die eine solche Erklärung nicht abgegeben haben.</w:t>
      </w:r>
    </w:p>
    <w:p>
      <w:r>
        <w:t xml:space="preserve">Der Gesamtbetrag solcher Verbindlichkeiten ist im Anhang unter den sonstigen finanziellen Verpflichtungen gesondert anzugeben, soweit sie nicht auf Grund einer Vereinbarung mit dem Unternehmen als nachrangiges Kapital ausgewiesen werden.</w:t>
      </w:r>
    </w:p>
    <w:p>
      <w:r>
        <w:t xml:space="preserve">(4) Verbindlichkeiten, die bis zur Feststellung der Eröffnungsbilanz erlassen oder von einem Dritten unentgeltlich übernommen werden, sind nicht zu bilanzieren.</w:t>
      </w:r>
    </w:p>
    <w:p>
      <w:r>
        <w:rPr>
          <w:color w:val="555555"/>
          <w:sz w:val="17"/>
        </w:rPr>
        <w:t xml:space="preserve">Zitiervorschlag: § 16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