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DMBilG — Kassenbestand, Schecks, Guthaben bei Geldinstituten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Zahlungsmittel in Mark der Deutschen Demokratischen Republik sind nur anzusetzen, soweit sie weiterhin gesetzliche Zahlungsmittel sind.</w:t>
      </w:r>
    </w:p>
    <w:p>
      <w:r>
        <w:t xml:space="preserve">(2) Schecks sind wie Forderungen zu behandeln.</w:t>
      </w:r>
    </w:p>
    <w:p>
      <w:r>
        <w:t xml:space="preserve">(3) Guthaben bei Geldinstituten in Mark der Deutschen Demokratischen Republik sind mit dem Betrag anzusetzen, den das Geldinstitut in Deutscher Mark gutbringen muß.</w:t>
      </w:r>
    </w:p>
    <w:p>
      <w:r>
        <w:rPr>
          <w:color w:val="555555"/>
          <w:sz w:val="17"/>
        </w:rPr>
        <w:t xml:space="preserve">Zitiervorschlag: § 14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