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DMBilG — Forderungen</w:t>
      </w:r>
    </w:p>
    <w:p>
      <w:r>
        <w:rPr>
          <w:color w:val="555555"/>
          <w:sz w:val="18"/>
        </w:rPr>
        <w:t xml:space="preserve">D-Markbilanzgesetz</w:t>
      </w:r>
    </w:p>
    <w:p>
      <w:r>
        <w:rPr>
          <w:color w:val="555555"/>
          <w:sz w:val="18"/>
        </w:rPr>
        <w:t xml:space="preserve">Stand: 10.06.2019 (konsolidierte Textfassung, kein amtliches Inkrafttretensdatum)</w:t>
      </w:r>
    </w:p>
    <w:p>
      <w:r>
        <w:t xml:space="preserve">(1) Auf Mark der Deutschen Demokratischen Republik lautende Forderungen, die vor dem 1. Juli 1990 begründet wurden, werden, soweit Absatz 2 nichts anderes bestimmt, mit der Wirkung auf Deutsche Mark umgerechnet, daß für zwei Mark der Deutschen Demokratischen Republik eine Deutsche Mark anzusetzen ist.</w:t>
      </w:r>
    </w:p>
    <w:p>
      <w:r>
        <w:t xml:space="preserve">(2) Abweichend von Absatz 1 werden Mieten und Pachten sowie sonstige regelmäßig wiederkehrende Zahlungen, die nach dem 30. Juni 1990 fällig werden, mit der Wirkung auf Deutsche Mark umgerechnet, daß für eine Mark der Deutschen Demokratischen Republik eine Deutsche Mark anzusetzen ist.</w:t>
      </w:r>
    </w:p>
    <w:p>
      <w:r>
        <w:t xml:space="preserve">(3) Der Grundsatz der Einzelbewertung ist zu beachten. Minderverzinsliche oder unverzinsliche Forderungen sowie zweifelhafte Forderungen sind mit dem niedrigeren beizulegenden Wert anzusetzen; eingeräumte Sicherheiten sind zu berücksichtigen. Pauschalwertberichtigungen wegen des allgemeinen Kreditrisikos sind vom Gesamtbetrag der Forderungen abzusetzen.</w:t>
      </w:r>
    </w:p>
    <w:p>
      <w:r>
        <w:t xml:space="preserve">(4) Forderungen, die Verbindlichkeiten nach § 16 Abs. 3 und 4 entsprechen, dürfen nicht angesetzt werden.</w:t>
      </w:r>
    </w:p>
    <w:p>
      <w:r>
        <w:t xml:space="preserve">(5) Ausstehende Einlagen sind, auch wenn sie nicht eingefordert sind, wie Forderungen zu bewerten, jedoch nicht abzuzinsen.</w:t>
      </w:r>
    </w:p>
    <w:p>
      <w:r>
        <w:rPr>
          <w:color w:val="555555"/>
          <w:sz w:val="17"/>
        </w:rPr>
        <w:t xml:space="preserve">Zitiervorschlag: § 13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