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DMBilG — Vorräte</w:t>
      </w:r>
    </w:p>
    <w:p>
      <w:r>
        <w:rPr>
          <w:color w:val="555555"/>
          <w:sz w:val="18"/>
        </w:rPr>
        <w:t xml:space="preserve">D-Markbilanzgesetz</w:t>
      </w:r>
    </w:p>
    <w:p>
      <w:r>
        <w:rPr>
          <w:color w:val="555555"/>
          <w:sz w:val="18"/>
        </w:rPr>
        <w:t xml:space="preserve">Stand: 10.06.2019 (konsolidierte Textfassung, kein amtliches Inkrafttretensdatum)</w:t>
      </w:r>
    </w:p>
    <w:p>
      <w:r>
        <w:t xml:space="preserve">(1) Roh-, Hilfs- und Betriebsstoffe sind mit ihren Wiederbeschaffungs- oder Wiederherstellungskosten anzusetzen.</w:t>
      </w:r>
    </w:p>
    <w:p>
      <w:r>
        <w:t xml:space="preserve">(2) Unfertige Erzeugnisse und Leistungen sowie fertige Erzeugnisse sind mit ihren Wiederherstellungskosten anzusetzen. Bei fertigen Erzeugnissen darf, wenn dies einer vereinfachten Ermittlung der Wiederherstellungskosten dient, der Betrag angesetzt werden, der sich ergibt, wenn von den zu erwartenden Erlösen die Vertriebskosten und der zu erwartende Gewinn abgesetzt werden. Dieses Verfahren darf auch auf unfertige Erzeugnisse und Leistungen angewandt werden, wenn die bis zur Fertigstellung zusätzlich anfallenden Kosten, die ebenfalls abzusetzen sind, zuverlässig berechnet werden können.</w:t>
      </w:r>
    </w:p>
    <w:p>
      <w:r>
        <w:t xml:space="preserve">(3) Waren, die ohne Be- oder Verarbeitung zur Weiterveräußerung bestimmt sind, sind mit den Wiederbeschaffungskosten anzusetzen. Absatz 2 Satz 2 darf entsprechend angewandt werden.</w:t>
      </w:r>
    </w:p>
    <w:p>
      <w:r>
        <w:t xml:space="preserve">(4) Vorräte nach den Absätzen 1 bis 3 sind jedoch höchstens mit ihrem Zeitwert (§ 7 Abs. 1 Satz 1) anzusetzen. § 7 Abs. 5 Satz 1 bleibt unberührt.</w:t>
      </w:r>
    </w:p>
    <w:p>
      <w:r>
        <w:rPr>
          <w:color w:val="555555"/>
          <w:sz w:val="17"/>
        </w:rPr>
        <w:t xml:space="preserve">Zitiervorschlag: § 12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