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DMBilG — Finanzanlagen</w:t>
      </w:r>
    </w:p>
    <w:p>
      <w:r>
        <w:rPr>
          <w:color w:val="555555"/>
          <w:sz w:val="18"/>
        </w:rPr>
        <w:t xml:space="preserve">D-Markbilanzgesetz</w:t>
      </w:r>
    </w:p>
    <w:p>
      <w:r>
        <w:rPr>
          <w:color w:val="555555"/>
          <w:sz w:val="18"/>
        </w:rPr>
        <w:t xml:space="preserve">Stand: 10.06.2019 (konsolidierte Textfassung, kein amtliches Inkrafttretensdatum)</w:t>
      </w:r>
    </w:p>
    <w:p>
      <w:r>
        <w:t xml:space="preserve">(1) Beteiligungen an einem anderen Unternehmen nach § 1 sind in der Eröffnungsbilanz mit dem Betrag anzusetzen, der dem ausgewiesenen anteiligen Eigenkapital (§ 26 Abs. 1) in der Eröffnungsbilanz dieses Unternehmens entspricht. Steht dem anderen Unternehmen eine Ausgleichsforderung oder eine Forderung auf Einzahlung von Eigenkapital gegen das beteiligte Unternehmen zu, so sind diese unter den Verbindlichkeiten gegenüber verbundenen Unternehmen gesondert auszuweisen. Andere Beteiligungen sind mit ihrem Verkehrswert anzusetzen. Satz 3 darf auch auf Beteiligungen nach Satz 1 angewandt werden.</w:t>
      </w:r>
    </w:p>
    <w:p>
      <w:r>
        <w:t xml:space="preserve">(2) Aktien und andere Wertpapiere, die an einer Börse zum amtlichen Handel oder zum geregelten Markt zugelassen oder in den Freiverkehr einbezogen sind, sind mit ihrem Kurswert am Stichtag der Eröffnungsbilanz anzusetzen.</w:t>
      </w:r>
    </w:p>
    <w:p>
      <w:r>
        <w:t xml:space="preserve">(3) Ausleihungen, die vor dem 1. Juli 1990 begründet wurden, sind mit der Wirkung auf Deutsche Mark umzustellen, daß für zwei Mark der Deutschen Demokratischen Republik eine Deutsche Mark anzusetzen ist.</w:t>
      </w:r>
    </w:p>
    <w:p>
      <w:r>
        <w:rPr>
          <w:color w:val="555555"/>
          <w:sz w:val="17"/>
        </w:rPr>
        <w:t xml:space="preserve">Zitiervorschlag: § 11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