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DMBilG — Bauten und andere Anlagen</w:t>
      </w:r>
    </w:p>
    <w:p>
      <w:r>
        <w:rPr>
          <w:color w:val="555555"/>
          <w:sz w:val="18"/>
        </w:rPr>
        <w:t xml:space="preserve">D-Markbilanzgesetz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Gebäude und andere Bauten, technische und andere Anlagen, Maschinen, Betriebs- und Geschäftsausstattung sind mit ihren Wiederherstellungskosten (§ 7 Abs. 3) oder mit ihren Wiederbeschaffungskosten (§ 7 Abs. 2) unter Berücksichtigung des Wertabschlags für zwischenzeitliche Nutzung (§ 7 Abs. 4), höchstens jedoch mit ihrem Zeitwert (§ 7 Abs. 1 Satz 2) anzusetzen. Unterlassene Instandhaltungen und Großreparaturen zur Erhaltung sind bei der Ermittlung des Zeitwerts wertmindernd zu berücksichtigen, soweit eine Rückstellung nach § 249 Abs. 2 des Handelsgesetzbuchs nicht gebildet wird.</w:t>
      </w:r>
    </w:p>
    <w:p>
      <w:r>
        <w:t xml:space="preserve">(2) Als Zeitwert der in Absatz 1 bezeichneten Vermögensgegenstände kann auch ihr höherer Verkehrswert angesetzt werden. Unterlassene Instandhaltungen und Großreparaturen zur Erhaltung des Vermögensgegenstandes dürfen bei Ansatz des Verkehrswerts nicht wertmindernd berücksichtigt werden, soweit eine Rückstellung nach § 249 Abs. 1 Satz 2 Nr. 1 oder Satz 3 oder Absatz 2 des Handelsgesetzbuchs gebildet wird.</w:t>
      </w:r>
    </w:p>
    <w:p>
      <w:r>
        <w:rPr>
          <w:color w:val="555555"/>
          <w:sz w:val="17"/>
        </w:rPr>
        <w:t xml:space="preserve">Zitiervorschlag: § 10 DMBilG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https://recht.nulegal.eu/gesetze/DMBilG/10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