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DMBeEndG</w:t>
      </w:r>
    </w:p>
    <w:p>
      <w:r>
        <w:rPr>
          <w:color w:val="555555"/>
          <w:sz w:val="18"/>
        </w:rPr>
        <w:t xml:space="preserve">DM-Beendigungsgesetz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4 ist auf Taten, die während seiner Geltung begangen sind, auch dann anzuwenden, wenn er außer Kraft getreten ist.</w:t>
      </w:r>
    </w:p>
    <w:p>
      <w:r>
        <w:rPr>
          <w:color w:val="555555"/>
          <w:sz w:val="17"/>
        </w:rPr>
        <w:t xml:space="preserve">Zitiervorschlag: § 6 DMBeEndG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https://recht.nulegal.eu/gesetze/DMBeEndG/6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